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C22FCA">
      <w:pPr>
        <w:pStyle w:val="2"/>
        <w:spacing w:before="156" w:after="156"/>
      </w:pPr>
      <w:bookmarkStart w:id="0" w:name="_Toc100219615"/>
      <w:bookmarkStart w:id="1" w:name="_Toc135142971"/>
      <w:r>
        <w:rPr>
          <w:rFonts w:hint="eastAsia"/>
        </w:rPr>
        <w:t>合</w:t>
      </w:r>
      <w:r>
        <w:rPr>
          <w:rFonts w:hint="eastAsia"/>
          <w:lang w:val="en-US" w:eastAsia="zh-CN"/>
        </w:rPr>
        <w:t xml:space="preserve">  </w:t>
      </w:r>
      <w:r>
        <w:rPr>
          <w:rFonts w:hint="eastAsia"/>
        </w:rPr>
        <w:t>同</w:t>
      </w:r>
      <w:bookmarkEnd w:id="0"/>
      <w:bookmarkEnd w:id="1"/>
    </w:p>
    <w:p w14:paraId="4CBAE094">
      <w:pPr>
        <w:spacing w:before="156" w:beforeLines="50"/>
        <w:ind w:firstLine="422" w:firstLineChars="200"/>
        <w:rPr>
          <w:b/>
        </w:rPr>
      </w:pPr>
    </w:p>
    <w:p w14:paraId="63890F60">
      <w:pPr>
        <w:spacing w:before="156" w:beforeLines="50"/>
        <w:ind w:firstLine="422" w:firstLineChars="200"/>
        <w:rPr>
          <w:b/>
        </w:rPr>
      </w:pPr>
      <w:r>
        <w:rPr>
          <w:b/>
        </w:rPr>
        <w:t xml:space="preserve">甲方（采购人）： </w:t>
      </w:r>
      <w:r>
        <w:rPr>
          <w:rFonts w:hint="eastAsia"/>
        </w:rPr>
        <w:t>_____________</w:t>
      </w:r>
      <w:r>
        <w:t>____</w:t>
      </w:r>
    </w:p>
    <w:p w14:paraId="60950D2B">
      <w:pPr>
        <w:ind w:firstLine="422" w:firstLineChars="200"/>
        <w:rPr>
          <w:b/>
        </w:rPr>
      </w:pPr>
      <w:r>
        <w:rPr>
          <w:b/>
        </w:rPr>
        <w:t>甲方地址：</w:t>
      </w:r>
      <w:r>
        <w:rPr>
          <w:rFonts w:hint="eastAsia"/>
        </w:rPr>
        <w:t>_________________________</w:t>
      </w:r>
      <w:r>
        <w:t>________</w:t>
      </w:r>
    </w:p>
    <w:p w14:paraId="252DD938">
      <w:pPr>
        <w:ind w:firstLine="422" w:firstLineChars="200"/>
        <w:rPr>
          <w:b/>
        </w:rPr>
      </w:pPr>
      <w:r>
        <w:rPr>
          <w:b/>
        </w:rPr>
        <w:t>乙方（中标</w:t>
      </w:r>
      <w:r>
        <w:rPr>
          <w:rFonts w:hint="eastAsia"/>
          <w:b/>
        </w:rPr>
        <w:t>服务</w:t>
      </w:r>
      <w:r>
        <w:rPr>
          <w:b/>
        </w:rPr>
        <w:t>商）：</w:t>
      </w:r>
      <w:r>
        <w:rPr>
          <w:rFonts w:hint="eastAsia"/>
        </w:rPr>
        <w:t>_________________________</w:t>
      </w:r>
      <w:r>
        <w:t>________</w:t>
      </w:r>
    </w:p>
    <w:p w14:paraId="0A95E309">
      <w:pPr>
        <w:ind w:firstLine="422" w:firstLineChars="200"/>
      </w:pPr>
      <w:r>
        <w:rPr>
          <w:b/>
        </w:rPr>
        <w:t>乙方地址：</w:t>
      </w:r>
      <w:r>
        <w:rPr>
          <w:rFonts w:hint="eastAsia"/>
        </w:rPr>
        <w:t>___________________________________</w:t>
      </w:r>
      <w:r>
        <w:t>________</w:t>
      </w:r>
    </w:p>
    <w:p w14:paraId="6BE11BC7">
      <w:pPr>
        <w:ind w:firstLine="420" w:firstLineChars="200"/>
      </w:pPr>
    </w:p>
    <w:p w14:paraId="01F3E05A">
      <w:pPr>
        <w:ind w:firstLine="420" w:firstLineChars="200"/>
        <w:rPr>
          <w:rFonts w:cs="等线"/>
        </w:rPr>
      </w:pPr>
      <w:r>
        <w:rPr>
          <w:rFonts w:hint="eastAsia" w:cs="等线"/>
        </w:rPr>
        <w:t>甲方所需服务，按照采购程序，确定乙方为中标服务商。依据《中华人民共和国政府采购法》及实施条例、</w:t>
      </w:r>
      <w:r>
        <w:rPr>
          <w:rFonts w:hint="eastAsia" w:cs="等线"/>
          <w:color w:val="auto"/>
          <w:lang w:eastAsia="zh-CN"/>
        </w:rPr>
        <w:t>《</w:t>
      </w:r>
      <w:r>
        <w:rPr>
          <w:rFonts w:hint="eastAsia" w:cs="等线"/>
        </w:rPr>
        <w:t>政府采购货物和服务招标投标管理办法</w:t>
      </w:r>
      <w:r>
        <w:rPr>
          <w:rFonts w:hint="eastAsia" w:cs="等线"/>
          <w:color w:val="C00000"/>
          <w:lang w:eastAsia="zh-CN"/>
        </w:rPr>
        <w:t>》</w:t>
      </w:r>
      <w:r>
        <w:rPr>
          <w:rFonts w:hint="eastAsia" w:cs="等线"/>
        </w:rPr>
        <w:t>、《中华人民共和国民法典》、乙方</w:t>
      </w:r>
      <w:r>
        <w:rPr>
          <w:rFonts w:hint="eastAsia" w:cs="等线"/>
          <w:lang w:val="en-US" w:eastAsia="zh-CN"/>
        </w:rPr>
        <w:t>响应</w:t>
      </w:r>
      <w:r>
        <w:rPr>
          <w:rFonts w:hint="eastAsia" w:cs="等线"/>
        </w:rPr>
        <w:t>文件正本、中标通知书，经甲、乙双方协商，达成如下条款。</w:t>
      </w:r>
    </w:p>
    <w:p w14:paraId="7F0EB7F8">
      <w:pPr>
        <w:tabs>
          <w:tab w:val="left" w:pos="480"/>
        </w:tabs>
        <w:spacing w:line="400" w:lineRule="exact"/>
        <w:rPr>
          <w:rFonts w:hint="eastAsia" w:ascii="等线" w:hAnsi="等线" w:cs="仿宋"/>
          <w:b/>
          <w:color w:val="000000"/>
        </w:rPr>
      </w:pPr>
      <w:r>
        <w:rPr>
          <w:rFonts w:hint="eastAsia" w:ascii="等线" w:hAnsi="等线" w:cs="仿宋"/>
          <w:b/>
          <w:color w:val="000000"/>
        </w:rPr>
        <w:t>一、项目基本情况</w:t>
      </w:r>
    </w:p>
    <w:p w14:paraId="54F4E03A">
      <w:pPr>
        <w:ind w:firstLine="420" w:firstLineChars="200"/>
        <w:rPr>
          <w:rFonts w:hint="eastAsia" w:ascii="等线" w:hAnsi="等线" w:cs="仿宋"/>
          <w:szCs w:val="21"/>
        </w:rPr>
      </w:pPr>
      <w:r>
        <w:rPr>
          <w:rFonts w:hint="eastAsia" w:cs="等线"/>
        </w:rPr>
        <w:t>（一）服务期：</w:t>
      </w:r>
      <w:r>
        <w:rPr>
          <w:rFonts w:hint="eastAsia"/>
        </w:rPr>
        <w:t>_____________</w:t>
      </w:r>
      <w:r>
        <w:t>____</w:t>
      </w:r>
      <w:r>
        <w:rPr>
          <w:rFonts w:ascii="等线" w:hAnsi="等线" w:cs="仿宋"/>
          <w:szCs w:val="21"/>
        </w:rPr>
        <w:t xml:space="preserve"> </w:t>
      </w:r>
    </w:p>
    <w:p w14:paraId="04492411">
      <w:pPr>
        <w:ind w:firstLine="420" w:firstLineChars="200"/>
        <w:rPr>
          <w:rFonts w:hint="eastAsia" w:cs="等线"/>
        </w:rPr>
      </w:pPr>
      <w:r>
        <w:rPr>
          <w:rFonts w:hint="eastAsia" w:cs="等线"/>
        </w:rPr>
        <w:t>（二）服务</w:t>
      </w:r>
      <w:r>
        <w:rPr>
          <w:rFonts w:cs="等线"/>
        </w:rPr>
        <w:t>地点：</w:t>
      </w:r>
      <w:r>
        <w:rPr>
          <w:rFonts w:hint="eastAsia" w:cs="等线"/>
        </w:rPr>
        <w:t>甲方指定地点。</w:t>
      </w:r>
    </w:p>
    <w:p w14:paraId="618C52E6">
      <w:pPr>
        <w:ind w:firstLine="420" w:firstLineChars="200"/>
        <w:rPr>
          <w:rFonts w:hint="eastAsia" w:eastAsia="宋体" w:cs="等线"/>
          <w:color w:val="auto"/>
        </w:rPr>
      </w:pPr>
      <w:r>
        <w:rPr>
          <w:rFonts w:hint="eastAsia" w:eastAsia="宋体" w:cs="等线"/>
          <w:color w:val="auto"/>
          <w:lang w:eastAsia="zh-CN"/>
        </w:rPr>
        <w:t>（</w:t>
      </w:r>
      <w:r>
        <w:rPr>
          <w:rFonts w:hint="eastAsia" w:eastAsia="宋体" w:cs="等线"/>
          <w:color w:val="auto"/>
          <w:lang w:val="en-US" w:eastAsia="zh-CN"/>
        </w:rPr>
        <w:t>三</w:t>
      </w:r>
      <w:r>
        <w:rPr>
          <w:rFonts w:hint="eastAsia" w:eastAsia="宋体" w:cs="等线"/>
          <w:color w:val="auto"/>
          <w:lang w:eastAsia="zh-CN"/>
        </w:rPr>
        <w:t>）</w:t>
      </w:r>
      <w:r>
        <w:rPr>
          <w:rFonts w:hint="eastAsia" w:eastAsia="宋体" w:cs="等线"/>
          <w:color w:val="auto"/>
          <w:lang w:val="en-US" w:eastAsia="zh-CN"/>
        </w:rPr>
        <w:t>服务范围：西安市殡仪馆馆区和三兆公墓园区内所有道路、广场、停车场、花园、花坛、墓地等区域，涵盖约22万m²绿地、8.9万m²墓区、8900余株行道树、26000余株花灌木的绿化养护。</w:t>
      </w:r>
    </w:p>
    <w:p w14:paraId="075298CB">
      <w:pPr>
        <w:ind w:firstLine="420" w:firstLineChars="200"/>
        <w:rPr>
          <w:rFonts w:hint="eastAsia" w:eastAsia="黑体"/>
          <w:color w:val="auto"/>
          <w:lang w:eastAsia="zh-CN"/>
        </w:rPr>
      </w:pPr>
      <w:r>
        <w:rPr>
          <w:rFonts w:hint="eastAsia" w:eastAsia="宋体" w:cs="等线"/>
          <w:color w:val="auto"/>
          <w:lang w:eastAsia="zh-CN"/>
        </w:rPr>
        <w:t>（</w:t>
      </w:r>
      <w:r>
        <w:rPr>
          <w:rFonts w:hint="eastAsia" w:eastAsia="宋体" w:cs="等线"/>
          <w:color w:val="auto"/>
          <w:lang w:val="en-US" w:eastAsia="zh-CN"/>
        </w:rPr>
        <w:t>四</w:t>
      </w:r>
      <w:r>
        <w:rPr>
          <w:rFonts w:hint="eastAsia" w:eastAsia="宋体" w:cs="等线"/>
          <w:color w:val="auto"/>
          <w:lang w:eastAsia="zh-CN"/>
        </w:rPr>
        <w:t>）</w:t>
      </w:r>
      <w:r>
        <w:rPr>
          <w:rFonts w:hint="eastAsia" w:eastAsia="宋体" w:cs="等线"/>
          <w:color w:val="auto"/>
          <w:lang w:val="en-US" w:eastAsia="zh-CN"/>
        </w:rPr>
        <w:t>自合同签订之日起壹年，具体起止日期以双方约定为准。</w:t>
      </w:r>
    </w:p>
    <w:p w14:paraId="2F2C8644">
      <w:pPr>
        <w:tabs>
          <w:tab w:val="left" w:pos="480"/>
        </w:tabs>
        <w:spacing w:line="400" w:lineRule="exact"/>
        <w:rPr>
          <w:rFonts w:hint="eastAsia" w:ascii="等线" w:hAnsi="等线" w:cs="仿宋"/>
          <w:b/>
          <w:color w:val="000000"/>
        </w:rPr>
      </w:pPr>
      <w:r>
        <w:rPr>
          <w:rFonts w:hint="eastAsia" w:ascii="等线" w:hAnsi="等线" w:cs="仿宋"/>
          <w:b/>
          <w:color w:val="000000"/>
        </w:rPr>
        <w:t>二、合同价款及支付方式</w:t>
      </w:r>
    </w:p>
    <w:p w14:paraId="2916E3F0">
      <w:pPr>
        <w:spacing w:line="400" w:lineRule="exact"/>
        <w:ind w:firstLine="420" w:firstLineChars="200"/>
        <w:rPr>
          <w:rFonts w:hint="eastAsia" w:ascii="宋体" w:hAnsi="宋体" w:cs="仿宋"/>
        </w:rPr>
      </w:pPr>
      <w:r>
        <w:rPr>
          <w:rFonts w:hint="eastAsia" w:ascii="宋体" w:hAnsi="宋体" w:cs="仿宋"/>
        </w:rPr>
        <w:t>（一）合同总价为人民币（大写）_________小写：¥_________元。包括管理、服务人员的工资、社会保险和按规定提取的福利费等；管理区域内清洁卫生、耗材费用；购买或租赁必需的机械及器材的支出；行政办公费用；企业固定资产折旧；临时性加班的加班费用；法定税费；合理利润等一切费用。系固定不变价格，不受市场价格变化因素的影响。</w:t>
      </w:r>
    </w:p>
    <w:p w14:paraId="5F546D3F">
      <w:pPr>
        <w:ind w:firstLine="420" w:firstLineChars="200"/>
        <w:rPr>
          <w:rFonts w:hint="eastAsia" w:eastAsia="宋体" w:cs="等线"/>
          <w:color w:val="auto"/>
          <w:lang w:val="en-US" w:eastAsia="zh-CN"/>
        </w:rPr>
      </w:pPr>
      <w:r>
        <w:rPr>
          <w:rFonts w:hint="eastAsia" w:cs="等线"/>
        </w:rPr>
        <w:t>（一）支付进度：</w:t>
      </w:r>
      <w:r>
        <w:rPr>
          <w:rFonts w:hint="eastAsia" w:ascii="宋体" w:hAnsi="宋体"/>
        </w:rPr>
        <w:t>甲方根据考核情况每月结算一次，每月实际支付费用＝（年服务费÷12个月）﹣考核扣款。乙方每月10号前开出上月服务费用发票，</w:t>
      </w:r>
      <w:r>
        <w:rPr>
          <w:rFonts w:hint="eastAsia" w:eastAsia="宋体" w:cs="等线"/>
          <w:color w:val="auto"/>
          <w:lang w:val="en-US" w:eastAsia="zh-CN"/>
        </w:rPr>
        <w:t>甲方在收到发票及符合要求的考核料后（若乙方未按时提交发票或考核资料不符合要求，甲方付款期限顺延，不承担任何违约责任）10日内完成支付。</w:t>
      </w:r>
    </w:p>
    <w:p w14:paraId="3D8C3D5E">
      <w:pPr>
        <w:ind w:firstLine="420" w:firstLineChars="200"/>
        <w:rPr>
          <w:rFonts w:cs="等线"/>
        </w:rPr>
      </w:pPr>
      <w:r>
        <w:rPr>
          <w:rFonts w:hint="eastAsia" w:cs="等线"/>
        </w:rPr>
        <w:t>二）支付方式：银行转账。</w:t>
      </w:r>
    </w:p>
    <w:p w14:paraId="195CE900">
      <w:pPr>
        <w:ind w:firstLine="420" w:firstLineChars="200"/>
        <w:rPr>
          <w:rFonts w:cs="等线"/>
        </w:rPr>
      </w:pPr>
      <w:r>
        <w:rPr>
          <w:rFonts w:hint="eastAsia" w:cs="等线"/>
        </w:rPr>
        <w:t>（三）结算方式：</w:t>
      </w:r>
      <w:r>
        <w:rPr>
          <w:rFonts w:hint="eastAsia" w:eastAsia="宋体" w:cs="等线"/>
          <w:color w:val="auto"/>
          <w:lang w:val="en-US" w:eastAsia="zh-CN"/>
        </w:rPr>
        <w:t>乙方完成当月服务并经甲方</w:t>
      </w:r>
      <w:r>
        <w:rPr>
          <w:rFonts w:hint="eastAsia" w:cs="等线"/>
        </w:rPr>
        <w:t>验收合格后由甲方填写《政府采购项目验收单》，乙方持中标通知书、服务合同、正式发票、政府采购项目验收单，与甲方进行结算。</w:t>
      </w:r>
    </w:p>
    <w:p w14:paraId="219881B0">
      <w:pPr>
        <w:tabs>
          <w:tab w:val="left" w:pos="480"/>
        </w:tabs>
        <w:spacing w:line="400" w:lineRule="exact"/>
        <w:rPr>
          <w:rFonts w:hint="eastAsia" w:ascii="等线" w:hAnsi="等线" w:cs="仿宋"/>
          <w:b/>
          <w:color w:val="000000"/>
        </w:rPr>
      </w:pPr>
      <w:r>
        <w:rPr>
          <w:rFonts w:hint="eastAsia" w:ascii="等线" w:hAnsi="等线" w:cs="仿宋"/>
          <w:b/>
          <w:color w:val="000000"/>
        </w:rPr>
        <w:t>三、服务内容及要求</w:t>
      </w:r>
    </w:p>
    <w:p w14:paraId="34BD7F92">
      <w:pPr>
        <w:ind w:firstLine="420" w:firstLineChars="200"/>
        <w:rPr>
          <w:rFonts w:cs="等线"/>
        </w:rPr>
      </w:pPr>
      <w:r>
        <w:rPr>
          <w:rFonts w:hint="eastAsia" w:cs="等线"/>
        </w:rPr>
        <w:t>（一）服务内容：</w:t>
      </w:r>
    </w:p>
    <w:p w14:paraId="164CDA70">
      <w:pPr>
        <w:spacing w:line="400" w:lineRule="exact"/>
        <w:ind w:firstLine="420" w:firstLineChars="200"/>
      </w:pPr>
      <w:r>
        <w:rPr>
          <w:rFonts w:cs="等线"/>
        </w:rPr>
        <w:t>详见招标文件</w:t>
      </w:r>
    </w:p>
    <w:p w14:paraId="605E773C">
      <w:pPr>
        <w:ind w:firstLine="420" w:firstLineChars="200"/>
        <w:rPr>
          <w:rFonts w:cs="等线"/>
        </w:rPr>
      </w:pPr>
      <w:r>
        <w:rPr>
          <w:rFonts w:hint="eastAsia" w:cs="等线"/>
        </w:rPr>
        <w:t>（二）服务要求：</w:t>
      </w:r>
    </w:p>
    <w:p w14:paraId="4F6115EE">
      <w:pPr>
        <w:ind w:firstLine="420" w:firstLineChars="200"/>
        <w:rPr>
          <w:rFonts w:cs="等线"/>
        </w:rPr>
      </w:pPr>
      <w:r>
        <w:rPr>
          <w:rFonts w:cs="等线"/>
        </w:rPr>
        <w:t>详见招标文件</w:t>
      </w:r>
    </w:p>
    <w:p w14:paraId="528728CA">
      <w:pPr>
        <w:tabs>
          <w:tab w:val="left" w:pos="480"/>
        </w:tabs>
        <w:spacing w:line="400" w:lineRule="exact"/>
        <w:rPr>
          <w:rFonts w:hint="eastAsia" w:ascii="等线" w:hAnsi="等线" w:cs="仿宋"/>
          <w:b/>
          <w:color w:val="000000"/>
        </w:rPr>
      </w:pPr>
      <w:r>
        <w:rPr>
          <w:rFonts w:hint="eastAsia" w:ascii="等线" w:hAnsi="等线" w:cs="仿宋"/>
          <w:b/>
          <w:color w:val="000000"/>
        </w:rPr>
        <w:t>四、验收标准及条件</w:t>
      </w:r>
    </w:p>
    <w:p w14:paraId="597CD70E">
      <w:pPr>
        <w:tabs>
          <w:tab w:val="left" w:pos="480"/>
        </w:tabs>
        <w:spacing w:line="400" w:lineRule="exact"/>
        <w:ind w:firstLine="420" w:firstLineChars="200"/>
        <w:rPr>
          <w:rFonts w:cs="等线"/>
        </w:rPr>
      </w:pPr>
      <w:r>
        <w:rPr>
          <w:rFonts w:hint="eastAsia" w:cs="等线"/>
        </w:rPr>
        <w:t>（一）服务期满后，甲方对乙方服务进行验收，验收合格后，填写政府采购项目验收单（一式伍份）作为对项目的最终认可。</w:t>
      </w:r>
    </w:p>
    <w:p w14:paraId="2056D4C8">
      <w:pPr>
        <w:tabs>
          <w:tab w:val="left" w:pos="480"/>
        </w:tabs>
        <w:spacing w:line="400" w:lineRule="exact"/>
        <w:ind w:firstLine="420" w:firstLineChars="200"/>
        <w:rPr>
          <w:rFonts w:cs="等线"/>
        </w:rPr>
      </w:pPr>
      <w:r>
        <w:rPr>
          <w:rFonts w:hint="eastAsia" w:cs="等线"/>
        </w:rPr>
        <w:t>（二）乙方向甲方提供服务过程中的所有资料,以便甲方日后管理。</w:t>
      </w:r>
    </w:p>
    <w:p w14:paraId="6BE44833">
      <w:pPr>
        <w:tabs>
          <w:tab w:val="left" w:pos="480"/>
        </w:tabs>
        <w:spacing w:line="400" w:lineRule="exact"/>
        <w:ind w:firstLine="420" w:firstLineChars="200"/>
        <w:rPr>
          <w:rFonts w:cs="等线"/>
        </w:rPr>
      </w:pPr>
      <w:r>
        <w:rPr>
          <w:rFonts w:hint="eastAsia" w:cs="等线"/>
        </w:rPr>
        <w:t>（三）验收依据</w:t>
      </w:r>
    </w:p>
    <w:p w14:paraId="4CD1C938">
      <w:pPr>
        <w:tabs>
          <w:tab w:val="left" w:pos="480"/>
        </w:tabs>
        <w:spacing w:line="400" w:lineRule="exact"/>
        <w:ind w:firstLine="420" w:firstLineChars="200"/>
        <w:rPr>
          <w:rFonts w:cs="等线"/>
        </w:rPr>
      </w:pPr>
      <w:r>
        <w:rPr>
          <w:rFonts w:hint="eastAsia" w:cs="等线"/>
        </w:rPr>
        <w:t>1</w:t>
      </w:r>
      <w:r>
        <w:rPr>
          <w:rFonts w:cs="等线"/>
        </w:rPr>
        <w:t>.</w:t>
      </w:r>
      <w:r>
        <w:rPr>
          <w:rFonts w:hint="eastAsia" w:cs="等线"/>
          <w:lang w:val="en-US" w:eastAsia="zh-CN"/>
        </w:rPr>
        <w:t>磋商</w:t>
      </w:r>
      <w:r>
        <w:rPr>
          <w:rFonts w:hint="eastAsia" w:cs="等线"/>
        </w:rPr>
        <w:t>文件、</w:t>
      </w:r>
      <w:r>
        <w:rPr>
          <w:rFonts w:hint="eastAsia" w:cs="等线"/>
          <w:lang w:val="en-US" w:eastAsia="zh-CN"/>
        </w:rPr>
        <w:t>响应</w:t>
      </w:r>
      <w:r>
        <w:rPr>
          <w:rFonts w:hint="eastAsia" w:cs="等线"/>
        </w:rPr>
        <w:t>文件、澄清表（函）；</w:t>
      </w:r>
    </w:p>
    <w:p w14:paraId="0465A222">
      <w:pPr>
        <w:tabs>
          <w:tab w:val="left" w:pos="480"/>
        </w:tabs>
        <w:spacing w:line="400" w:lineRule="exact"/>
        <w:ind w:firstLine="420" w:firstLineChars="200"/>
        <w:rPr>
          <w:rFonts w:cs="等线"/>
        </w:rPr>
      </w:pPr>
      <w:r>
        <w:rPr>
          <w:rFonts w:hint="eastAsia" w:cs="等线"/>
        </w:rPr>
        <w:t>2</w:t>
      </w:r>
      <w:r>
        <w:rPr>
          <w:rFonts w:cs="等线"/>
        </w:rPr>
        <w:t>.</w:t>
      </w:r>
      <w:r>
        <w:rPr>
          <w:rFonts w:hint="eastAsia" w:cs="等线"/>
        </w:rPr>
        <w:t>本合同及附件文本；</w:t>
      </w:r>
    </w:p>
    <w:p w14:paraId="231F0B61">
      <w:pPr>
        <w:tabs>
          <w:tab w:val="left" w:pos="480"/>
        </w:tabs>
        <w:spacing w:line="400" w:lineRule="exact"/>
        <w:ind w:firstLine="420" w:firstLineChars="200"/>
        <w:rPr>
          <w:rFonts w:cs="等线"/>
        </w:rPr>
      </w:pPr>
      <w:r>
        <w:rPr>
          <w:rFonts w:hint="eastAsia" w:cs="等线"/>
        </w:rPr>
        <w:t>3</w:t>
      </w:r>
      <w:r>
        <w:rPr>
          <w:rFonts w:cs="等线"/>
        </w:rPr>
        <w:t>.</w:t>
      </w:r>
      <w:r>
        <w:rPr>
          <w:rFonts w:hint="eastAsia" w:cs="等线"/>
        </w:rPr>
        <w:t>国家相应的标准、规范。</w:t>
      </w:r>
    </w:p>
    <w:p w14:paraId="2C707730">
      <w:pPr>
        <w:tabs>
          <w:tab w:val="left" w:pos="480"/>
        </w:tabs>
        <w:spacing w:line="400" w:lineRule="exact"/>
        <w:rPr>
          <w:rFonts w:hint="eastAsia" w:ascii="等线" w:hAnsi="等线" w:cs="仿宋"/>
          <w:b/>
          <w:color w:val="000000"/>
        </w:rPr>
      </w:pPr>
      <w:r>
        <w:rPr>
          <w:rFonts w:hint="eastAsia" w:ascii="等线" w:hAnsi="等线" w:cs="仿宋"/>
          <w:b/>
          <w:color w:val="000000"/>
        </w:rPr>
        <w:t>五、</w:t>
      </w:r>
      <w:r>
        <w:rPr>
          <w:rFonts w:ascii="等线" w:hAnsi="等线" w:cs="仿宋"/>
          <w:b/>
          <w:color w:val="000000"/>
        </w:rPr>
        <w:t>双方的权利与义务</w:t>
      </w:r>
    </w:p>
    <w:p w14:paraId="68D65231">
      <w:pPr>
        <w:ind w:firstLine="420" w:firstLineChars="200"/>
        <w:rPr>
          <w:rFonts w:hint="eastAsia" w:cs="等线"/>
          <w:sz w:val="21"/>
          <w:szCs w:val="21"/>
        </w:rPr>
      </w:pPr>
      <w:r>
        <w:rPr>
          <w:rFonts w:hint="eastAsia" w:cs="等线"/>
          <w:sz w:val="21"/>
          <w:szCs w:val="21"/>
        </w:rPr>
        <w:t>（一）甲方权利义务：</w:t>
      </w:r>
    </w:p>
    <w:p w14:paraId="61F26B5A">
      <w:pPr>
        <w:ind w:firstLine="420" w:firstLineChars="200"/>
        <w:rPr>
          <w:rFonts w:hint="eastAsia" w:eastAsia="宋体" w:cs="等线"/>
          <w:color w:val="C00000"/>
          <w:lang w:val="en-US" w:eastAsia="zh-CN"/>
        </w:rPr>
      </w:pPr>
      <w:r>
        <w:rPr>
          <w:rFonts w:hint="eastAsia" w:cs="等线"/>
          <w:sz w:val="21"/>
          <w:szCs w:val="21"/>
          <w:lang w:val="en-US" w:eastAsia="zh-CN"/>
        </w:rPr>
        <w:t xml:space="preserve">  （1）按照合同约定，对乙方服务质量进行监督检查和考核，</w:t>
      </w:r>
      <w:r>
        <w:rPr>
          <w:rFonts w:hint="eastAsia" w:ascii="宋体" w:hAnsi="宋体" w:eastAsia="宋体" w:cs="宋体"/>
          <w:color w:val="auto"/>
          <w:sz w:val="21"/>
          <w:szCs w:val="21"/>
          <w:highlight w:val="none"/>
          <w:lang w:val="en-US" w:eastAsia="zh-CN"/>
        </w:rPr>
        <w:t>对乙方管理中存在的问题，有权提出改进意见，</w:t>
      </w:r>
      <w:r>
        <w:rPr>
          <w:rFonts w:hint="eastAsia" w:eastAsia="宋体" w:cs="等线"/>
          <w:color w:val="auto"/>
          <w:lang w:val="en-US" w:eastAsia="zh-CN"/>
        </w:rPr>
        <w:t>乙方需在规定期限内整改。</w:t>
      </w:r>
    </w:p>
    <w:p w14:paraId="4B3241FC">
      <w:pPr>
        <w:pStyle w:val="11"/>
        <w:ind w:firstLine="480"/>
        <w:rPr>
          <w:rFonts w:hint="eastAsia" w:ascii="宋体" w:hAnsi="宋体" w:eastAsia="宋体" w:cs="宋体"/>
          <w:color w:val="auto"/>
          <w:kern w:val="2"/>
          <w:sz w:val="21"/>
          <w:szCs w:val="21"/>
          <w:highlight w:val="none"/>
          <w:lang w:val="en-US" w:eastAsia="zh-CN" w:bidi="ar-SA"/>
        </w:rPr>
      </w:pPr>
      <w:r>
        <w:rPr>
          <w:rFonts w:hint="eastAsia"/>
          <w:sz w:val="21"/>
          <w:szCs w:val="21"/>
        </w:rPr>
        <w:t>（2）</w:t>
      </w:r>
      <w:r>
        <w:rPr>
          <w:rFonts w:hint="eastAsia" w:ascii="宋体" w:hAnsi="宋体" w:eastAsia="宋体" w:cs="宋体"/>
          <w:color w:val="auto"/>
          <w:kern w:val="2"/>
          <w:sz w:val="21"/>
          <w:szCs w:val="21"/>
          <w:highlight w:val="none"/>
          <w:lang w:val="en-US" w:eastAsia="zh-CN" w:bidi="ar-SA"/>
        </w:rPr>
        <w:t>按照本合同规定的标准和支付方式及时支付乙方</w:t>
      </w:r>
      <w:r>
        <w:rPr>
          <w:rFonts w:hint="eastAsia" w:ascii="宋体" w:hAnsi="宋体" w:cs="宋体"/>
          <w:color w:val="auto"/>
          <w:kern w:val="2"/>
          <w:sz w:val="21"/>
          <w:szCs w:val="21"/>
          <w:highlight w:val="none"/>
          <w:lang w:val="en-US" w:eastAsia="zh-CN" w:bidi="ar-SA"/>
        </w:rPr>
        <w:t>服务费用</w:t>
      </w:r>
      <w:r>
        <w:rPr>
          <w:rFonts w:hint="eastAsia" w:ascii="宋体" w:hAnsi="宋体" w:eastAsia="宋体" w:cs="宋体"/>
          <w:color w:val="auto"/>
          <w:kern w:val="2"/>
          <w:sz w:val="21"/>
          <w:szCs w:val="21"/>
          <w:highlight w:val="none"/>
          <w:lang w:val="en-US" w:eastAsia="zh-CN" w:bidi="ar-SA"/>
        </w:rPr>
        <w:t>。</w:t>
      </w:r>
    </w:p>
    <w:p w14:paraId="749B6917">
      <w:pPr>
        <w:pStyle w:val="11"/>
        <w:ind w:firstLine="480"/>
        <w:rPr>
          <w:rFonts w:hint="eastAsia"/>
          <w:sz w:val="21"/>
          <w:szCs w:val="21"/>
          <w:lang w:eastAsia="zh-CN"/>
        </w:rPr>
      </w:pPr>
      <w:r>
        <w:rPr>
          <w:rFonts w:hint="eastAsia"/>
          <w:sz w:val="21"/>
          <w:szCs w:val="21"/>
        </w:rPr>
        <w:t>（3）有权对乙方承诺的服务事项进行监督并提出合理化建议</w:t>
      </w:r>
      <w:r>
        <w:rPr>
          <w:rFonts w:hint="eastAsia"/>
          <w:sz w:val="21"/>
          <w:szCs w:val="21"/>
          <w:lang w:eastAsia="zh-CN"/>
        </w:rPr>
        <w:t>。</w:t>
      </w:r>
    </w:p>
    <w:p w14:paraId="535C8ED4">
      <w:pPr>
        <w:pStyle w:val="11"/>
        <w:ind w:firstLine="480"/>
        <w:rPr>
          <w:rFonts w:hint="default"/>
          <w:sz w:val="21"/>
          <w:szCs w:val="21"/>
          <w:lang w:val="en-US"/>
        </w:rPr>
      </w:pPr>
      <w:r>
        <w:rPr>
          <w:rFonts w:hint="eastAsia"/>
          <w:sz w:val="21"/>
          <w:szCs w:val="21"/>
          <w:lang w:eastAsia="zh-CN"/>
        </w:rPr>
        <w:t>（</w:t>
      </w:r>
      <w:r>
        <w:rPr>
          <w:rFonts w:hint="eastAsia"/>
          <w:sz w:val="21"/>
          <w:szCs w:val="21"/>
          <w:lang w:val="en-US" w:eastAsia="zh-CN"/>
        </w:rPr>
        <w:t>4</w:t>
      </w:r>
      <w:r>
        <w:rPr>
          <w:rFonts w:hint="eastAsia"/>
          <w:sz w:val="21"/>
          <w:szCs w:val="21"/>
          <w:lang w:eastAsia="zh-CN"/>
        </w:rPr>
        <w:t>）</w:t>
      </w:r>
      <w:r>
        <w:rPr>
          <w:rFonts w:hint="eastAsia"/>
          <w:sz w:val="21"/>
          <w:szCs w:val="21"/>
          <w:lang w:val="en-US" w:eastAsia="zh-CN"/>
        </w:rPr>
        <w:t>乙方</w:t>
      </w:r>
      <w:r>
        <w:rPr>
          <w:rFonts w:hint="eastAsia" w:ascii="宋体" w:hAnsi="宋体" w:eastAsia="宋体" w:cs="宋体"/>
          <w:color w:val="auto"/>
          <w:sz w:val="21"/>
          <w:szCs w:val="21"/>
          <w:highlight w:val="none"/>
          <w:lang w:val="zh-CN" w:eastAsia="zh-CN"/>
        </w:rPr>
        <w:t>未按合同要求提供服务或服务质量不能满足本次采购要求，</w:t>
      </w:r>
      <w:r>
        <w:rPr>
          <w:rFonts w:hint="eastAsia"/>
          <w:sz w:val="21"/>
          <w:szCs w:val="21"/>
          <w:lang w:val="en-US" w:eastAsia="zh-CN"/>
        </w:rPr>
        <w:t>甲方有权终止合同。</w:t>
      </w:r>
    </w:p>
    <w:p w14:paraId="09E500AE">
      <w:pPr>
        <w:ind w:firstLine="420" w:firstLineChars="200"/>
        <w:rPr>
          <w:rFonts w:cs="等线"/>
          <w:sz w:val="21"/>
          <w:szCs w:val="21"/>
        </w:rPr>
      </w:pPr>
      <w:r>
        <w:rPr>
          <w:rFonts w:hint="eastAsia" w:cs="等线"/>
          <w:sz w:val="21"/>
          <w:szCs w:val="21"/>
        </w:rPr>
        <w:t>（二）乙方权利义务：</w:t>
      </w:r>
    </w:p>
    <w:p w14:paraId="758EC4C4">
      <w:pPr>
        <w:pStyle w:val="11"/>
        <w:rPr>
          <w:rFonts w:hint="eastAsia" w:ascii="Calibri" w:hAnsi="Calibri" w:eastAsia="宋体" w:cs="等线"/>
          <w:color w:val="auto"/>
          <w:kern w:val="2"/>
          <w:sz w:val="21"/>
          <w:szCs w:val="22"/>
          <w:lang w:val="en-US" w:eastAsia="zh-CN" w:bidi="ar-SA"/>
        </w:rPr>
      </w:pPr>
      <w:r>
        <w:rPr>
          <w:rFonts w:hint="eastAsia"/>
          <w:sz w:val="21"/>
          <w:szCs w:val="21"/>
        </w:rPr>
        <w:t>（</w:t>
      </w:r>
      <w:r>
        <w:rPr>
          <w:rFonts w:hint="eastAsia"/>
          <w:sz w:val="21"/>
          <w:szCs w:val="21"/>
          <w:lang w:val="en-US" w:eastAsia="zh-CN"/>
        </w:rPr>
        <w:t>1</w:t>
      </w:r>
      <w:r>
        <w:rPr>
          <w:rFonts w:hint="eastAsia"/>
          <w:sz w:val="21"/>
          <w:szCs w:val="21"/>
        </w:rPr>
        <w:t>）</w:t>
      </w:r>
      <w:r>
        <w:rPr>
          <w:rFonts w:hint="eastAsia" w:ascii="宋体" w:hAnsi="宋体" w:cs="仿宋"/>
          <w:sz w:val="21"/>
          <w:szCs w:val="21"/>
        </w:rPr>
        <w:t>严格按照双方约定的养护标准进行养护</w:t>
      </w:r>
      <w:r>
        <w:rPr>
          <w:rFonts w:hint="eastAsia" w:ascii="Calibri" w:hAnsi="Calibri" w:eastAsia="宋体" w:cs="等线"/>
          <w:color w:val="auto"/>
          <w:kern w:val="2"/>
          <w:sz w:val="21"/>
          <w:szCs w:val="22"/>
          <w:lang w:val="en-US" w:eastAsia="zh-CN" w:bidi="ar-SA"/>
        </w:rPr>
        <w:t>，接受甲方监督考核，按时提交月/周工作计划及进度统计报表。</w:t>
      </w:r>
    </w:p>
    <w:p w14:paraId="03EB81F9">
      <w:pPr>
        <w:pStyle w:val="11"/>
        <w:ind w:firstLine="480"/>
        <w:rPr>
          <w:sz w:val="21"/>
          <w:szCs w:val="21"/>
        </w:rPr>
      </w:pPr>
      <w:r>
        <w:rPr>
          <w:rFonts w:hint="eastAsia"/>
          <w:sz w:val="21"/>
          <w:szCs w:val="21"/>
        </w:rPr>
        <w:t>（2）</w:t>
      </w:r>
      <w:r>
        <w:rPr>
          <w:sz w:val="21"/>
          <w:szCs w:val="21"/>
        </w:rPr>
        <w:t>遵守各项管理法规和合同规定的责任要求，对本项目秩序实施综合管理，确保实现管理目标，并承担相应责任，自觉接受甲方检查监督</w:t>
      </w:r>
      <w:r>
        <w:rPr>
          <w:rFonts w:hint="eastAsia"/>
          <w:sz w:val="21"/>
          <w:szCs w:val="21"/>
        </w:rPr>
        <w:t>。</w:t>
      </w:r>
    </w:p>
    <w:p w14:paraId="60A717B7">
      <w:pPr>
        <w:tabs>
          <w:tab w:val="left" w:pos="480"/>
        </w:tabs>
        <w:spacing w:line="400" w:lineRule="exact"/>
        <w:ind w:firstLine="420" w:firstLineChars="200"/>
        <w:rPr>
          <w:rFonts w:cs="等线"/>
          <w:sz w:val="21"/>
          <w:szCs w:val="21"/>
        </w:rPr>
      </w:pPr>
      <w:r>
        <w:rPr>
          <w:rFonts w:hint="eastAsia" w:ascii="宋体" w:hAnsi="宋体" w:cs="仿宋"/>
          <w:sz w:val="21"/>
          <w:szCs w:val="21"/>
        </w:rPr>
        <w:t>（</w:t>
      </w:r>
      <w:r>
        <w:rPr>
          <w:rFonts w:hint="eastAsia" w:ascii="宋体" w:hAnsi="宋体" w:cs="仿宋"/>
          <w:sz w:val="21"/>
          <w:szCs w:val="21"/>
          <w:lang w:val="en-US" w:eastAsia="zh-CN"/>
        </w:rPr>
        <w:t>3</w:t>
      </w:r>
      <w:r>
        <w:rPr>
          <w:rFonts w:hint="eastAsia" w:ascii="宋体" w:hAnsi="宋体" w:cs="仿宋"/>
          <w:sz w:val="21"/>
          <w:szCs w:val="21"/>
        </w:rPr>
        <w:t>）必须重视安全生产，落实安全生产责任制，建立完善的安全生产责任管理制度</w:t>
      </w:r>
      <w:r>
        <w:rPr>
          <w:rFonts w:hint="eastAsia" w:ascii="宋体" w:hAnsi="宋体" w:cs="仿宋"/>
          <w:sz w:val="21"/>
          <w:szCs w:val="21"/>
          <w:lang w:eastAsia="zh-CN"/>
        </w:rPr>
        <w:t>，</w:t>
      </w:r>
      <w:r>
        <w:rPr>
          <w:rFonts w:hint="eastAsia" w:ascii="宋体" w:hAnsi="宋体" w:cs="仿宋"/>
          <w:sz w:val="21"/>
          <w:szCs w:val="21"/>
          <w:lang w:val="en-US" w:eastAsia="zh-CN"/>
        </w:rPr>
        <w:t>并</w:t>
      </w:r>
      <w:r>
        <w:rPr>
          <w:rFonts w:hint="eastAsia" w:ascii="宋体" w:hAnsi="宋体" w:cs="仿宋"/>
          <w:sz w:val="21"/>
          <w:szCs w:val="21"/>
        </w:rPr>
        <w:t>承担所有安全责任及损失。若因乙方原因造成甲方承担有关法律责任，乙方应赔偿给甲方造成的一切损失。</w:t>
      </w:r>
    </w:p>
    <w:p w14:paraId="2B5DA7D3">
      <w:pPr>
        <w:spacing w:line="400" w:lineRule="exact"/>
        <w:ind w:firstLine="420" w:firstLineChars="200"/>
        <w:rPr>
          <w:rFonts w:hint="eastAsia" w:ascii="宋体" w:hAnsi="宋体" w:cs="仿宋"/>
          <w:sz w:val="21"/>
          <w:szCs w:val="21"/>
        </w:rPr>
      </w:pPr>
      <w:r>
        <w:rPr>
          <w:rFonts w:ascii="宋体" w:hAnsi="宋体" w:cs="仿宋"/>
          <w:sz w:val="21"/>
          <w:szCs w:val="21"/>
        </w:rPr>
        <w:t>（</w:t>
      </w:r>
      <w:r>
        <w:rPr>
          <w:rFonts w:hint="eastAsia" w:ascii="宋体" w:hAnsi="宋体" w:cs="仿宋"/>
          <w:sz w:val="21"/>
          <w:szCs w:val="21"/>
          <w:lang w:val="en-US" w:eastAsia="zh-CN"/>
        </w:rPr>
        <w:t>4</w:t>
      </w:r>
      <w:r>
        <w:rPr>
          <w:rFonts w:ascii="宋体" w:hAnsi="宋体" w:cs="仿宋"/>
          <w:sz w:val="21"/>
          <w:szCs w:val="21"/>
        </w:rPr>
        <w:t>）</w:t>
      </w:r>
      <w:r>
        <w:rPr>
          <w:rFonts w:hint="eastAsia" w:ascii="宋体" w:hAnsi="宋体" w:cs="仿宋"/>
          <w:sz w:val="21"/>
          <w:szCs w:val="21"/>
          <w:lang w:val="en-US" w:eastAsia="zh-CN"/>
        </w:rPr>
        <w:t>绿化养护</w:t>
      </w:r>
      <w:r>
        <w:rPr>
          <w:rFonts w:hint="eastAsia" w:ascii="宋体" w:hAnsi="宋体" w:cs="仿宋"/>
          <w:sz w:val="21"/>
          <w:szCs w:val="21"/>
        </w:rPr>
        <w:t>作业现场符合文明施工、治污减霾有关规定，全力配合城市治理等城市环境品质创建提升工作，承担因违反有关规定造成的损失和罚款。</w:t>
      </w:r>
    </w:p>
    <w:p w14:paraId="09776D47">
      <w:pPr>
        <w:spacing w:line="400" w:lineRule="exact"/>
        <w:ind w:firstLine="420" w:firstLineChars="200"/>
        <w:rPr>
          <w:rFonts w:hint="eastAsia" w:ascii="宋体" w:hAnsi="宋体" w:cs="仿宋"/>
          <w:sz w:val="21"/>
          <w:szCs w:val="21"/>
        </w:rPr>
      </w:pPr>
      <w:r>
        <w:rPr>
          <w:rFonts w:ascii="宋体" w:hAnsi="宋体" w:cs="仿宋"/>
          <w:sz w:val="21"/>
          <w:szCs w:val="21"/>
        </w:rPr>
        <w:t>（</w:t>
      </w:r>
      <w:r>
        <w:rPr>
          <w:rFonts w:hint="eastAsia" w:ascii="宋体" w:hAnsi="宋体" w:cs="仿宋"/>
          <w:sz w:val="21"/>
          <w:szCs w:val="21"/>
          <w:lang w:val="en-US" w:eastAsia="zh-CN"/>
        </w:rPr>
        <w:t>5</w:t>
      </w:r>
      <w:r>
        <w:rPr>
          <w:rFonts w:ascii="宋体" w:hAnsi="宋体" w:cs="仿宋"/>
          <w:sz w:val="21"/>
          <w:szCs w:val="21"/>
        </w:rPr>
        <w:t>）</w:t>
      </w:r>
      <w:r>
        <w:rPr>
          <w:rFonts w:hint="eastAsia" w:ascii="宋体" w:hAnsi="宋体" w:cs="仿宋"/>
          <w:sz w:val="21"/>
          <w:szCs w:val="21"/>
          <w:lang w:val="en-US" w:eastAsia="zh-CN"/>
        </w:rPr>
        <w:t>必须</w:t>
      </w:r>
      <w:r>
        <w:rPr>
          <w:rFonts w:hint="eastAsia" w:ascii="宋体" w:hAnsi="宋体" w:cs="仿宋"/>
          <w:sz w:val="21"/>
          <w:szCs w:val="21"/>
        </w:rPr>
        <w:t>按时足额支付其人员工资，不得以任何理由无故拖欠养护人员正常工资，并接受甲方监管，未按时支付造成恶劣影响的，经济损失和法律责任由乙方承担。</w:t>
      </w:r>
    </w:p>
    <w:p w14:paraId="72F52B11">
      <w:pPr>
        <w:spacing w:line="400" w:lineRule="exact"/>
        <w:ind w:firstLine="420" w:firstLineChars="200"/>
        <w:rPr>
          <w:rFonts w:hint="eastAsia" w:ascii="宋体" w:hAnsi="宋体" w:eastAsia="宋体" w:cs="仿宋"/>
          <w:color w:val="auto"/>
          <w:sz w:val="21"/>
          <w:szCs w:val="21"/>
          <w:lang w:eastAsia="zh-CN"/>
        </w:rPr>
      </w:pPr>
      <w:r>
        <w:rPr>
          <w:rFonts w:hint="eastAsia" w:ascii="宋体" w:hAnsi="宋体" w:cs="仿宋"/>
          <w:sz w:val="21"/>
          <w:szCs w:val="21"/>
          <w:lang w:eastAsia="zh-CN"/>
        </w:rPr>
        <w:t>（</w:t>
      </w:r>
      <w:r>
        <w:rPr>
          <w:rFonts w:hint="eastAsia" w:ascii="宋体" w:hAnsi="宋体" w:cs="仿宋"/>
          <w:sz w:val="21"/>
          <w:szCs w:val="21"/>
          <w:lang w:val="en-US" w:eastAsia="zh-CN"/>
        </w:rPr>
        <w:t>6</w:t>
      </w:r>
      <w:r>
        <w:rPr>
          <w:rFonts w:hint="eastAsia" w:ascii="宋体" w:hAnsi="宋体" w:cs="仿宋"/>
          <w:sz w:val="21"/>
          <w:szCs w:val="21"/>
          <w:lang w:eastAsia="zh-CN"/>
        </w:rPr>
        <w:t>）</w:t>
      </w:r>
      <w:r>
        <w:rPr>
          <w:rFonts w:hint="eastAsia" w:ascii="Calibri" w:hAnsi="Calibri" w:eastAsia="宋体" w:cs="等线"/>
          <w:color w:val="auto"/>
          <w:kern w:val="2"/>
          <w:sz w:val="21"/>
          <w:szCs w:val="22"/>
          <w:lang w:val="en-US" w:eastAsia="zh-CN" w:bidi="ar-SA"/>
        </w:rPr>
        <w:t>不得将本项目分包、转包，组织架构需与投标文件一致，合同签订后向甲方备案书面材料。</w:t>
      </w:r>
    </w:p>
    <w:p w14:paraId="5D083BA9">
      <w:pPr>
        <w:tabs>
          <w:tab w:val="left" w:pos="480"/>
        </w:tabs>
        <w:spacing w:line="400" w:lineRule="exact"/>
        <w:rPr>
          <w:rFonts w:hint="eastAsia" w:ascii="等线" w:hAnsi="等线" w:cs="仿宋"/>
          <w:b/>
          <w:color w:val="000000"/>
        </w:rPr>
      </w:pPr>
      <w:r>
        <w:rPr>
          <w:rFonts w:hint="eastAsia" w:ascii="等线" w:hAnsi="等线" w:cs="仿宋"/>
          <w:b/>
          <w:color w:val="000000"/>
        </w:rPr>
        <w:t>六、违约责任</w:t>
      </w:r>
    </w:p>
    <w:p w14:paraId="61EF88AB">
      <w:pPr>
        <w:tabs>
          <w:tab w:val="left" w:pos="480"/>
        </w:tabs>
        <w:spacing w:line="400" w:lineRule="exact"/>
        <w:ind w:firstLine="420" w:firstLineChars="200"/>
        <w:rPr>
          <w:rFonts w:cs="等线"/>
        </w:rPr>
      </w:pPr>
      <w:r>
        <w:rPr>
          <w:rFonts w:hint="eastAsia" w:cs="等线"/>
        </w:rPr>
        <w:t>（一）按《民法典》中的相关条款执行。</w:t>
      </w:r>
    </w:p>
    <w:p w14:paraId="49B576DB">
      <w:pPr>
        <w:tabs>
          <w:tab w:val="left" w:pos="480"/>
        </w:tabs>
        <w:spacing w:line="400" w:lineRule="exact"/>
        <w:ind w:firstLine="420" w:firstLineChars="200"/>
        <w:rPr>
          <w:rFonts w:hint="eastAsia" w:ascii="Calibri" w:hAnsi="Calibri" w:eastAsia="宋体" w:cs="等线"/>
          <w:color w:val="auto"/>
          <w:kern w:val="2"/>
          <w:sz w:val="21"/>
          <w:szCs w:val="22"/>
          <w:lang w:val="en-US" w:eastAsia="zh-CN" w:bidi="ar-SA"/>
        </w:rPr>
      </w:pPr>
      <w:r>
        <w:rPr>
          <w:rFonts w:hint="eastAsia" w:cs="等线"/>
        </w:rPr>
        <w:t>（二）</w:t>
      </w:r>
      <w:r>
        <w:rPr>
          <w:rFonts w:hint="eastAsia" w:ascii="Calibri" w:hAnsi="Calibri" w:eastAsia="宋体" w:cs="等线"/>
          <w:color w:val="auto"/>
          <w:kern w:val="2"/>
          <w:sz w:val="21"/>
          <w:szCs w:val="22"/>
          <w:lang w:val="en-US" w:eastAsia="zh-CN" w:bidi="ar-SA"/>
        </w:rPr>
        <w:t>（乙方未按合同约定提供服务、服务质量不达标或未按要求整改的，甲方有权扣除相应考核费用，直至终止合同，乙方需赔偿甲方因此造成的损失。</w:t>
      </w:r>
    </w:p>
    <w:p w14:paraId="475FE4F9">
      <w:pPr>
        <w:spacing w:line="400" w:lineRule="exact"/>
        <w:ind w:firstLine="420" w:firstLineChars="200"/>
        <w:rPr>
          <w:rFonts w:hint="eastAsia" w:ascii="Calibri" w:hAnsi="Calibri" w:eastAsia="宋体" w:cs="等线"/>
          <w:color w:val="auto"/>
          <w:kern w:val="2"/>
          <w:sz w:val="21"/>
          <w:szCs w:val="22"/>
          <w:lang w:val="en-US" w:eastAsia="zh-CN" w:bidi="ar-SA"/>
        </w:rPr>
      </w:pPr>
      <w:r>
        <w:rPr>
          <w:rFonts w:hint="eastAsia" w:ascii="Calibri" w:hAnsi="Calibri" w:eastAsia="宋体" w:cs="等线"/>
          <w:color w:val="auto"/>
          <w:kern w:val="2"/>
          <w:sz w:val="21"/>
          <w:szCs w:val="22"/>
          <w:lang w:val="en-US" w:eastAsia="zh-CN" w:bidi="ar-SA"/>
        </w:rPr>
        <w:t>（三）乙方擅自分包、转包项目，或更换项目经理、技术负责人未获甲方同意的，甲方有权解除合同，乙方需支付合同总价 10% 的违约金，并赔偿损失。</w:t>
      </w:r>
    </w:p>
    <w:p w14:paraId="4CF3F46F">
      <w:pPr>
        <w:spacing w:line="400" w:lineRule="exact"/>
        <w:ind w:firstLine="420" w:firstLineChars="200"/>
        <w:rPr>
          <w:rFonts w:hint="eastAsia" w:ascii="Calibri" w:hAnsi="Calibri" w:eastAsia="宋体" w:cs="等线"/>
          <w:color w:val="auto"/>
          <w:kern w:val="2"/>
          <w:sz w:val="21"/>
          <w:szCs w:val="22"/>
          <w:lang w:val="en-US" w:eastAsia="zh-CN" w:bidi="ar-SA"/>
        </w:rPr>
      </w:pPr>
      <w:r>
        <w:rPr>
          <w:rFonts w:hint="eastAsia" w:eastAsia="宋体" w:cs="等线"/>
          <w:color w:val="auto"/>
          <w:kern w:val="2"/>
          <w:sz w:val="21"/>
          <w:szCs w:val="22"/>
          <w:lang w:val="en-US" w:eastAsia="zh-CN" w:bidi="ar-SA"/>
        </w:rPr>
        <w:t>（四）</w:t>
      </w:r>
      <w:r>
        <w:rPr>
          <w:rFonts w:hint="eastAsia" w:ascii="Calibri" w:hAnsi="Calibri" w:eastAsia="宋体" w:cs="等线"/>
          <w:color w:val="auto"/>
          <w:kern w:val="2"/>
          <w:sz w:val="21"/>
          <w:szCs w:val="22"/>
          <w:lang w:val="en-US" w:eastAsia="zh-CN" w:bidi="ar-SA"/>
        </w:rPr>
        <w:t>乙方人员配置不符合要求、未购买规定保险、拖欠员工工资或发生安全事故的，甲方有权终止合同，乙方承担全部法律责任及经济损失。</w:t>
      </w:r>
    </w:p>
    <w:p w14:paraId="79FFE5C4">
      <w:pPr>
        <w:spacing w:line="400" w:lineRule="exact"/>
        <w:ind w:firstLine="420" w:firstLineChars="200"/>
        <w:rPr>
          <w:rFonts w:cs="等线"/>
          <w:color w:val="auto"/>
        </w:rPr>
      </w:pPr>
      <w:r>
        <w:rPr>
          <w:rFonts w:hint="eastAsia" w:eastAsia="宋体" w:cs="等线"/>
          <w:color w:val="auto"/>
          <w:kern w:val="2"/>
          <w:sz w:val="21"/>
          <w:szCs w:val="22"/>
          <w:lang w:val="en-US" w:eastAsia="zh-CN" w:bidi="ar-SA"/>
        </w:rPr>
        <w:t>（五）</w:t>
      </w:r>
      <w:r>
        <w:rPr>
          <w:rFonts w:hint="eastAsia" w:ascii="Calibri" w:hAnsi="Calibri" w:eastAsia="宋体" w:cs="等线"/>
          <w:color w:val="auto"/>
          <w:kern w:val="2"/>
          <w:sz w:val="21"/>
          <w:szCs w:val="22"/>
          <w:lang w:val="en-US" w:eastAsia="zh-CN" w:bidi="ar-SA"/>
        </w:rPr>
        <w:t>乙方违反文明施工、治污减霾、垃圾分类等规定被处罚的，罚款由乙方承担，甲方有权扣除相应服务费用；情节严重的，终止合同。）</w:t>
      </w:r>
    </w:p>
    <w:p w14:paraId="742BA943">
      <w:pPr>
        <w:numPr>
          <w:ilvl w:val="0"/>
          <w:numId w:val="0"/>
        </w:numPr>
        <w:tabs>
          <w:tab w:val="left" w:pos="480"/>
        </w:tabs>
        <w:spacing w:line="400" w:lineRule="exact"/>
        <w:ind w:firstLine="420" w:firstLineChars="200"/>
        <w:rPr>
          <w:rFonts w:cs="等线"/>
        </w:rPr>
      </w:pPr>
      <w:r>
        <w:rPr>
          <w:rFonts w:hint="eastAsia" w:ascii="Calibri" w:hAnsi="Calibri" w:eastAsia="宋体" w:cs="等线"/>
          <w:kern w:val="2"/>
          <w:sz w:val="21"/>
          <w:szCs w:val="22"/>
          <w:lang w:val="en-US" w:eastAsia="zh-CN" w:bidi="ar-SA"/>
        </w:rPr>
        <w:t>（</w:t>
      </w:r>
      <w:r>
        <w:rPr>
          <w:rFonts w:hint="eastAsia" w:cs="等线"/>
          <w:kern w:val="2"/>
          <w:sz w:val="21"/>
          <w:szCs w:val="22"/>
          <w:lang w:val="en-US" w:eastAsia="zh-CN" w:bidi="ar-SA"/>
        </w:rPr>
        <w:t>六</w:t>
      </w:r>
      <w:r>
        <w:rPr>
          <w:rFonts w:hint="eastAsia" w:ascii="Calibri" w:hAnsi="Calibri" w:eastAsia="宋体" w:cs="等线"/>
          <w:kern w:val="2"/>
          <w:sz w:val="21"/>
          <w:szCs w:val="22"/>
          <w:lang w:val="en-US" w:eastAsia="zh-CN" w:bidi="ar-SA"/>
        </w:rPr>
        <w:t>）</w:t>
      </w:r>
      <w:r>
        <w:rPr>
          <w:rFonts w:hint="eastAsia" w:cs="等线"/>
        </w:rPr>
        <w:t>未按合同要求提供服务或服务质量不能满足合同要求，甲方应当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0FE713E9">
      <w:pPr>
        <w:tabs>
          <w:tab w:val="left" w:pos="480"/>
        </w:tabs>
        <w:spacing w:line="400" w:lineRule="exact"/>
        <w:rPr>
          <w:rFonts w:hint="eastAsia" w:ascii="等线" w:hAnsi="等线" w:cs="仿宋"/>
          <w:b/>
          <w:color w:val="000000"/>
        </w:rPr>
      </w:pPr>
      <w:r>
        <w:rPr>
          <w:rFonts w:hint="eastAsia" w:ascii="等线" w:hAnsi="等线" w:cs="仿宋"/>
          <w:b/>
          <w:color w:val="000000"/>
        </w:rPr>
        <w:t>七、不可抗力事件处理</w:t>
      </w:r>
    </w:p>
    <w:p w14:paraId="726D591E">
      <w:pPr>
        <w:ind w:firstLine="420" w:firstLineChars="200"/>
        <w:rPr>
          <w:rFonts w:cs="等线"/>
        </w:rPr>
      </w:pPr>
      <w:r>
        <w:rPr>
          <w:rFonts w:hint="eastAsia" w:cs="等线"/>
        </w:rPr>
        <w:t>（一）在合同有效期内，任何一方因不可抗力事件导致不能履行合同，则合同履行期可延长，其延长期与不可抗力影响期相同。</w:t>
      </w:r>
    </w:p>
    <w:p w14:paraId="14BCFF0D">
      <w:pPr>
        <w:ind w:firstLine="420" w:firstLineChars="200"/>
        <w:rPr>
          <w:rFonts w:cs="等线"/>
        </w:rPr>
      </w:pPr>
      <w:r>
        <w:rPr>
          <w:rFonts w:hint="eastAsia" w:cs="等线"/>
        </w:rPr>
        <w:t>（二）不可抗力事件发生后，应立即通知对方，并寄送有关权威机构出具的证明。</w:t>
      </w:r>
    </w:p>
    <w:p w14:paraId="56B492CA">
      <w:pPr>
        <w:ind w:firstLine="420" w:firstLineChars="200"/>
        <w:rPr>
          <w:rFonts w:cs="等线"/>
        </w:rPr>
      </w:pPr>
      <w:r>
        <w:rPr>
          <w:rFonts w:hint="eastAsia" w:cs="等线"/>
        </w:rPr>
        <w:t>（三）不可抗力事件延续</w:t>
      </w:r>
      <w:r>
        <w:rPr>
          <w:rFonts w:cs="等线"/>
        </w:rPr>
        <w:t>15个日历日</w:t>
      </w:r>
      <w:r>
        <w:rPr>
          <w:rFonts w:hint="eastAsia" w:cs="等线"/>
        </w:rPr>
        <w:t>以上，双方应通过友好协商，确定是否继续履行合同。</w:t>
      </w:r>
    </w:p>
    <w:p w14:paraId="68A5EBD7">
      <w:pPr>
        <w:tabs>
          <w:tab w:val="left" w:pos="480"/>
        </w:tabs>
        <w:spacing w:line="400" w:lineRule="exact"/>
        <w:rPr>
          <w:rFonts w:hint="eastAsia" w:ascii="等线" w:hAnsi="等线" w:cs="仿宋"/>
          <w:b/>
          <w:color w:val="000000"/>
        </w:rPr>
      </w:pPr>
      <w:r>
        <w:rPr>
          <w:rFonts w:hint="eastAsia" w:ascii="等线" w:hAnsi="等线" w:cs="仿宋"/>
          <w:b/>
          <w:color w:val="000000"/>
        </w:rPr>
        <w:t>八、合同的变更和终止</w:t>
      </w:r>
    </w:p>
    <w:p w14:paraId="4F6B4240">
      <w:pPr>
        <w:ind w:firstLine="420" w:firstLineChars="200"/>
        <w:rPr>
          <w:rFonts w:hint="eastAsia" w:ascii="宋体" w:hAnsi="宋体" w:cs="仿宋"/>
        </w:rPr>
      </w:pPr>
      <w:r>
        <w:rPr>
          <w:rFonts w:hint="eastAsia" w:ascii="宋体" w:hAnsi="宋体" w:cs="仿宋"/>
        </w:rPr>
        <w:t>（一）禁止分包和转包。一经发现，甲方有权解除劳务合同，并承担相关责任和经济损失。组织架构应与投标文件相符，在合同签订后以正式书面文件向甲方备案。未经甲方同意，不得擅自更换项目经理、技术负责人及养护队伍。如有违反该项规定，视情节轻重，甲方处以罚款或解除合同。</w:t>
      </w:r>
    </w:p>
    <w:p w14:paraId="4AA45035">
      <w:pPr>
        <w:ind w:firstLine="420" w:firstLineChars="200"/>
        <w:rPr>
          <w:rFonts w:hint="eastAsia" w:ascii="宋体" w:hAnsi="宋体" w:cs="仿宋"/>
        </w:rPr>
      </w:pPr>
      <w:r>
        <w:rPr>
          <w:rFonts w:ascii="宋体" w:hAnsi="宋体" w:cs="仿宋"/>
        </w:rPr>
        <w:t>（二）</w:t>
      </w:r>
      <w:r>
        <w:rPr>
          <w:rFonts w:hint="eastAsia" w:ascii="宋体" w:hAnsi="宋体" w:cs="仿宋"/>
          <w:szCs w:val="21"/>
        </w:rPr>
        <w:t>若因养护质量不达标或其他原因被解除合同，自合同解除之日起自行终止</w:t>
      </w:r>
      <w:r>
        <w:rPr>
          <w:rFonts w:hint="eastAsia" w:ascii="宋体" w:hAnsi="宋体" w:cs="仿宋"/>
        </w:rPr>
        <w:t>。</w:t>
      </w:r>
    </w:p>
    <w:p w14:paraId="0DA6B27D">
      <w:pPr>
        <w:ind w:firstLine="420" w:firstLineChars="200"/>
        <w:rPr>
          <w:rFonts w:hint="eastAsia" w:ascii="宋体" w:hAnsi="宋体" w:cs="仿宋"/>
        </w:rPr>
      </w:pPr>
      <w:r>
        <w:rPr>
          <w:rFonts w:ascii="宋体" w:hAnsi="宋体" w:cs="仿宋"/>
        </w:rPr>
        <w:t>（三）</w:t>
      </w:r>
      <w:r>
        <w:rPr>
          <w:rFonts w:hint="eastAsia" w:ascii="宋体" w:hAnsi="宋体" w:cs="仿宋"/>
        </w:rPr>
        <w:t>合同期内，中标服务商应加强安全生产管理，造成重大安全事故的，采购人将终止合同，经济损失和法律责任由中标服务商承担。</w:t>
      </w:r>
    </w:p>
    <w:p w14:paraId="2D54CB7C">
      <w:pPr>
        <w:ind w:firstLine="420" w:firstLineChars="200"/>
        <w:rPr>
          <w:rFonts w:hint="eastAsia" w:ascii="宋体" w:hAnsi="宋体" w:cs="仿宋"/>
        </w:rPr>
      </w:pPr>
      <w:r>
        <w:rPr>
          <w:rFonts w:ascii="宋体" w:hAnsi="宋体" w:cs="仿宋"/>
        </w:rPr>
        <w:t>（四）</w:t>
      </w:r>
      <w:r>
        <w:rPr>
          <w:rFonts w:hint="eastAsia" w:ascii="宋体" w:hAnsi="宋体" w:cs="仿宋"/>
        </w:rPr>
        <w:t>合同期内，因中标服务商违反劳动法或其他相关法律法规造成恶劣影响，或未按时足额发放绿化养护人员工资影响恶劣的，采购人有权终止合同，经济损失和法律责任由中标服务商承担。</w:t>
      </w:r>
    </w:p>
    <w:p w14:paraId="1FB5DC67">
      <w:pPr>
        <w:ind w:firstLine="420" w:firstLineChars="200"/>
        <w:rPr>
          <w:rFonts w:cs="等线"/>
        </w:rPr>
      </w:pPr>
      <w:r>
        <w:rPr>
          <w:rFonts w:hint="eastAsia" w:cs="等线"/>
        </w:rPr>
        <w:t>（五）除《中华人民共和国政府采购法》第49条、第50条第二款规定的情形外，本合同一经签订，甲乙双方不得擅自变更、中止或终止合同。</w:t>
      </w:r>
    </w:p>
    <w:p w14:paraId="2C7029DB">
      <w:pPr>
        <w:tabs>
          <w:tab w:val="left" w:pos="480"/>
        </w:tabs>
        <w:spacing w:line="400" w:lineRule="exact"/>
        <w:rPr>
          <w:rFonts w:hint="eastAsia" w:ascii="等线" w:hAnsi="等线" w:cs="仿宋"/>
          <w:b/>
          <w:color w:val="000000"/>
        </w:rPr>
      </w:pPr>
      <w:r>
        <w:rPr>
          <w:rFonts w:hint="eastAsia" w:ascii="等线" w:hAnsi="等线" w:cs="仿宋"/>
          <w:b/>
          <w:color w:val="000000"/>
        </w:rPr>
        <w:t>九、解决合同纠纷的方式</w:t>
      </w:r>
    </w:p>
    <w:p w14:paraId="01F6CF49">
      <w:pPr>
        <w:ind w:firstLine="420" w:firstLineChars="200"/>
        <w:rPr>
          <w:rFonts w:cs="等线"/>
        </w:rPr>
      </w:pPr>
      <w:r>
        <w:rPr>
          <w:rFonts w:hint="eastAsia" w:cs="等线"/>
        </w:rPr>
        <w:t>（一）对本合同执行过程中发生的一切争议，双方应友好协商解决，如协商不能解决，可向甲方所在属地人民法院提请诉讼。</w:t>
      </w:r>
    </w:p>
    <w:p w14:paraId="35D27D1B">
      <w:pPr>
        <w:ind w:firstLine="420" w:firstLineChars="200"/>
        <w:rPr>
          <w:rFonts w:cs="等线"/>
        </w:rPr>
      </w:pPr>
      <w:r>
        <w:rPr>
          <w:rFonts w:hint="eastAsia" w:cs="等线"/>
        </w:rPr>
        <w:t>（二）在诉讼期间，本合同应继续履行。</w:t>
      </w:r>
    </w:p>
    <w:p w14:paraId="7AB9AF7F">
      <w:pPr>
        <w:tabs>
          <w:tab w:val="left" w:pos="480"/>
        </w:tabs>
        <w:spacing w:line="400" w:lineRule="exact"/>
        <w:rPr>
          <w:rFonts w:hint="eastAsia" w:ascii="等线" w:hAnsi="等线" w:cs="仿宋"/>
          <w:b/>
          <w:color w:val="000000"/>
        </w:rPr>
      </w:pPr>
      <w:r>
        <w:rPr>
          <w:rFonts w:hint="eastAsia" w:ascii="等线" w:hAnsi="等线" w:cs="仿宋"/>
          <w:b/>
          <w:color w:val="000000"/>
        </w:rPr>
        <w:t>十、合同生效及其他</w:t>
      </w:r>
    </w:p>
    <w:p w14:paraId="03AC0EEC">
      <w:pPr>
        <w:ind w:firstLine="420" w:firstLineChars="200"/>
        <w:rPr>
          <w:rFonts w:cs="等线"/>
        </w:rPr>
      </w:pPr>
      <w:r>
        <w:rPr>
          <w:rFonts w:hint="eastAsia" w:cs="等线"/>
        </w:rPr>
        <w:t>（一）本合同自签订之日起生效。</w:t>
      </w:r>
    </w:p>
    <w:p w14:paraId="3A7096BA">
      <w:pPr>
        <w:ind w:firstLine="420" w:firstLineChars="200"/>
        <w:rPr>
          <w:rFonts w:cs="等线"/>
        </w:rPr>
      </w:pPr>
      <w:r>
        <w:rPr>
          <w:rFonts w:hint="eastAsia" w:cs="等线"/>
        </w:rPr>
        <w:t>（二）合同一式6份，甲方、乙方各执3份。</w:t>
      </w:r>
    </w:p>
    <w:p w14:paraId="0F6AF32F">
      <w:pPr>
        <w:ind w:firstLine="420" w:firstLineChars="200"/>
        <w:rPr>
          <w:rFonts w:cs="等线"/>
        </w:rPr>
      </w:pPr>
      <w:r>
        <w:rPr>
          <w:rFonts w:hint="eastAsia" w:cs="等线"/>
        </w:rPr>
        <w:t>（三）如本合同有未尽事宜，以招标文件为准，招标文件未做要求的，由双方依法订立补充合同。</w:t>
      </w:r>
    </w:p>
    <w:p w14:paraId="59EB609C">
      <w:pPr>
        <w:tabs>
          <w:tab w:val="left" w:pos="480"/>
        </w:tabs>
        <w:spacing w:line="400" w:lineRule="exact"/>
        <w:rPr>
          <w:rFonts w:hint="eastAsia" w:ascii="等线" w:hAnsi="等线" w:cs="仿宋"/>
          <w:b/>
          <w:color w:val="000000"/>
        </w:rPr>
      </w:pPr>
      <w:r>
        <w:rPr>
          <w:rFonts w:hint="eastAsia" w:ascii="等线" w:hAnsi="等线" w:cs="仿宋"/>
          <w:b/>
          <w:color w:val="000000"/>
        </w:rPr>
        <w:t>十一、附件</w:t>
      </w:r>
    </w:p>
    <w:p w14:paraId="1577503E">
      <w:pPr>
        <w:ind w:firstLine="567"/>
        <w:rPr>
          <w:rFonts w:cs="等线"/>
        </w:rPr>
      </w:pPr>
      <w:r>
        <w:rPr>
          <w:rFonts w:hint="eastAsia" w:cs="等线"/>
        </w:rPr>
        <w:t>1</w:t>
      </w:r>
      <w:r>
        <w:rPr>
          <w:rFonts w:cs="等线"/>
        </w:rPr>
        <w:t>.</w:t>
      </w:r>
      <w:r>
        <w:rPr>
          <w:rFonts w:hint="eastAsia" w:cs="等线"/>
        </w:rPr>
        <w:t>项目</w:t>
      </w:r>
      <w:r>
        <w:rPr>
          <w:rFonts w:hint="eastAsia" w:cs="等线"/>
          <w:lang w:val="en-US" w:eastAsia="zh-CN"/>
        </w:rPr>
        <w:t>磋商</w:t>
      </w:r>
      <w:r>
        <w:rPr>
          <w:rFonts w:hint="eastAsia" w:cs="等线"/>
        </w:rPr>
        <w:t>文件</w:t>
      </w:r>
    </w:p>
    <w:p w14:paraId="006929BF">
      <w:pPr>
        <w:ind w:firstLine="567"/>
        <w:rPr>
          <w:rFonts w:cs="等线"/>
        </w:rPr>
      </w:pPr>
      <w:r>
        <w:rPr>
          <w:rFonts w:hint="eastAsia" w:cs="等线"/>
        </w:rPr>
        <w:t>2</w:t>
      </w:r>
      <w:r>
        <w:rPr>
          <w:rFonts w:cs="等线"/>
        </w:rPr>
        <w:t>.</w:t>
      </w:r>
      <w:r>
        <w:rPr>
          <w:rFonts w:hint="eastAsia" w:cs="等线"/>
        </w:rPr>
        <w:t>项目</w:t>
      </w:r>
      <w:r>
        <w:rPr>
          <w:rFonts w:hint="eastAsia" w:cs="等线"/>
          <w:lang w:val="en-US" w:eastAsia="zh-CN"/>
        </w:rPr>
        <w:t>响应</w:t>
      </w:r>
      <w:r>
        <w:rPr>
          <w:rFonts w:hint="eastAsia" w:cs="等线"/>
        </w:rPr>
        <w:t>文件</w:t>
      </w:r>
    </w:p>
    <w:p w14:paraId="578C45C2">
      <w:pPr>
        <w:ind w:firstLine="567"/>
        <w:rPr>
          <w:rFonts w:cs="等线"/>
        </w:rPr>
      </w:pPr>
      <w:r>
        <w:rPr>
          <w:rFonts w:hint="eastAsia" w:cs="等线"/>
        </w:rPr>
        <w:t>3</w:t>
      </w:r>
      <w:r>
        <w:rPr>
          <w:rFonts w:cs="等线"/>
        </w:rPr>
        <w:t>.</w:t>
      </w:r>
      <w:r>
        <w:rPr>
          <w:rFonts w:hint="eastAsia" w:cs="等线"/>
        </w:rPr>
        <w:t>中标通知书</w:t>
      </w:r>
    </w:p>
    <w:p w14:paraId="460A4BF1">
      <w:pPr>
        <w:ind w:firstLine="567"/>
        <w:rPr>
          <w:rFonts w:cs="等线"/>
        </w:rPr>
      </w:pPr>
      <w:r>
        <w:rPr>
          <w:rFonts w:cs="等线"/>
        </w:rPr>
        <w:t>4.</w:t>
      </w:r>
      <w:r>
        <w:rPr>
          <w:rFonts w:hint="eastAsia" w:cs="等线"/>
        </w:rPr>
        <w:t>其他</w:t>
      </w:r>
    </w:p>
    <w:tbl>
      <w:tblPr>
        <w:tblStyle w:val="7"/>
        <w:tblpPr w:leftFromText="180" w:rightFromText="180" w:vertAnchor="text" w:horzAnchor="page" w:tblpX="1477" w:tblpY="300"/>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55"/>
        <w:gridCol w:w="4785"/>
      </w:tblGrid>
      <w:tr w14:paraId="48094D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trPr>
        <w:tc>
          <w:tcPr>
            <w:tcW w:w="4355" w:type="dxa"/>
            <w:noWrap w:val="0"/>
            <w:vAlign w:val="top"/>
          </w:tcPr>
          <w:p w14:paraId="3F86C87E">
            <w:pPr>
              <w:pStyle w:val="12"/>
              <w:spacing w:before="160"/>
              <w:rPr>
                <w:rFonts w:hint="eastAsia" w:ascii="宋体" w:hAnsi="宋体" w:cs="宋体"/>
                <w:color w:val="auto"/>
                <w:sz w:val="24"/>
                <w:szCs w:val="24"/>
              </w:rPr>
            </w:pPr>
            <w:r>
              <w:rPr>
                <w:rFonts w:hint="eastAsia" w:ascii="宋体" w:hAnsi="宋体" w:cs="宋体"/>
                <w:color w:val="auto"/>
                <w:sz w:val="24"/>
                <w:szCs w:val="24"/>
                <w:lang w:val="en-US" w:eastAsia="zh-CN"/>
              </w:rPr>
              <w:t>甲方</w:t>
            </w:r>
            <w:r>
              <w:rPr>
                <w:rFonts w:hint="eastAsia" w:ascii="宋体" w:hAnsi="宋体" w:cs="宋体"/>
                <w:color w:val="auto"/>
                <w:sz w:val="24"/>
                <w:szCs w:val="24"/>
              </w:rPr>
              <w:t>（公章）</w:t>
            </w:r>
          </w:p>
        </w:tc>
        <w:tc>
          <w:tcPr>
            <w:tcW w:w="4785" w:type="dxa"/>
            <w:noWrap w:val="0"/>
            <w:vAlign w:val="top"/>
          </w:tcPr>
          <w:p w14:paraId="6749323C">
            <w:pPr>
              <w:pStyle w:val="12"/>
              <w:spacing w:before="160"/>
              <w:rPr>
                <w:rFonts w:hint="eastAsia" w:ascii="宋体" w:hAnsi="宋体" w:cs="宋体"/>
                <w:color w:val="auto"/>
                <w:sz w:val="24"/>
                <w:szCs w:val="24"/>
              </w:rPr>
            </w:pPr>
            <w:r>
              <w:rPr>
                <w:rFonts w:hint="eastAsia" w:ascii="宋体" w:hAnsi="宋体" w:cs="宋体"/>
                <w:color w:val="auto"/>
                <w:sz w:val="24"/>
                <w:szCs w:val="24"/>
                <w:lang w:val="en-US" w:eastAsia="zh-CN"/>
              </w:rPr>
              <w:t>乙方</w:t>
            </w:r>
            <w:r>
              <w:rPr>
                <w:rFonts w:hint="eastAsia" w:ascii="宋体" w:hAnsi="宋体" w:cs="宋体"/>
                <w:color w:val="auto"/>
                <w:sz w:val="24"/>
                <w:szCs w:val="24"/>
              </w:rPr>
              <w:t>（公章）</w:t>
            </w:r>
          </w:p>
        </w:tc>
      </w:tr>
      <w:tr w14:paraId="1BFFE2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4355" w:type="dxa"/>
            <w:noWrap w:val="0"/>
            <w:vAlign w:val="top"/>
          </w:tcPr>
          <w:p w14:paraId="3E3AFFD4">
            <w:pPr>
              <w:pStyle w:val="12"/>
              <w:spacing w:before="80"/>
              <w:ind w:left="106"/>
              <w:rPr>
                <w:rFonts w:hint="eastAsia" w:ascii="宋体" w:hAnsi="宋体" w:cs="宋体"/>
                <w:color w:val="auto"/>
                <w:sz w:val="24"/>
                <w:szCs w:val="24"/>
              </w:rPr>
            </w:pPr>
            <w:r>
              <w:rPr>
                <w:rFonts w:hint="eastAsia" w:ascii="宋体" w:hAnsi="宋体" w:cs="宋体"/>
                <w:color w:val="auto"/>
                <w:sz w:val="24"/>
                <w:szCs w:val="24"/>
              </w:rPr>
              <w:t>地址：</w:t>
            </w:r>
          </w:p>
        </w:tc>
        <w:tc>
          <w:tcPr>
            <w:tcW w:w="4785" w:type="dxa"/>
            <w:noWrap w:val="0"/>
            <w:vAlign w:val="top"/>
          </w:tcPr>
          <w:p w14:paraId="325ABE0D">
            <w:pPr>
              <w:pStyle w:val="12"/>
              <w:spacing w:before="80"/>
              <w:ind w:left="107"/>
              <w:rPr>
                <w:rFonts w:hint="eastAsia" w:ascii="宋体" w:hAnsi="宋体" w:cs="宋体"/>
                <w:color w:val="auto"/>
                <w:sz w:val="24"/>
                <w:szCs w:val="24"/>
              </w:rPr>
            </w:pPr>
            <w:r>
              <w:rPr>
                <w:rFonts w:hint="eastAsia" w:ascii="宋体" w:hAnsi="宋体" w:cs="宋体"/>
                <w:color w:val="auto"/>
                <w:sz w:val="24"/>
                <w:szCs w:val="24"/>
              </w:rPr>
              <w:t>地址：</w:t>
            </w:r>
          </w:p>
        </w:tc>
      </w:tr>
      <w:tr w14:paraId="451DED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355" w:type="dxa"/>
            <w:noWrap w:val="0"/>
            <w:vAlign w:val="top"/>
          </w:tcPr>
          <w:p w14:paraId="204A9573">
            <w:pPr>
              <w:pStyle w:val="12"/>
              <w:spacing w:before="80"/>
              <w:ind w:left="106"/>
              <w:rPr>
                <w:rFonts w:hint="eastAsia" w:ascii="宋体" w:hAnsi="宋体" w:cs="宋体"/>
                <w:color w:val="auto"/>
                <w:sz w:val="24"/>
                <w:szCs w:val="24"/>
              </w:rPr>
            </w:pPr>
            <w:r>
              <w:rPr>
                <w:rFonts w:hint="eastAsia" w:ascii="宋体" w:hAnsi="宋体" w:cs="宋体"/>
                <w:color w:val="auto"/>
                <w:sz w:val="24"/>
                <w:szCs w:val="24"/>
              </w:rPr>
              <w:t>邮编：</w:t>
            </w:r>
          </w:p>
        </w:tc>
        <w:tc>
          <w:tcPr>
            <w:tcW w:w="4785" w:type="dxa"/>
            <w:noWrap w:val="0"/>
            <w:vAlign w:val="top"/>
          </w:tcPr>
          <w:p w14:paraId="3D9FB1EC">
            <w:pPr>
              <w:pStyle w:val="12"/>
              <w:spacing w:before="80"/>
              <w:ind w:left="107"/>
              <w:rPr>
                <w:rFonts w:hint="eastAsia" w:ascii="宋体" w:hAnsi="宋体" w:cs="宋体"/>
                <w:color w:val="auto"/>
                <w:sz w:val="24"/>
                <w:szCs w:val="24"/>
              </w:rPr>
            </w:pPr>
            <w:r>
              <w:rPr>
                <w:rFonts w:hint="eastAsia" w:ascii="宋体" w:hAnsi="宋体" w:cs="宋体"/>
                <w:color w:val="auto"/>
                <w:sz w:val="24"/>
                <w:szCs w:val="24"/>
              </w:rPr>
              <w:t>邮编：</w:t>
            </w:r>
          </w:p>
        </w:tc>
      </w:tr>
      <w:tr w14:paraId="37427D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355" w:type="dxa"/>
            <w:noWrap w:val="0"/>
            <w:vAlign w:val="top"/>
          </w:tcPr>
          <w:p w14:paraId="0BE069FF">
            <w:pPr>
              <w:pStyle w:val="12"/>
              <w:spacing w:before="82"/>
              <w:ind w:left="106"/>
              <w:rPr>
                <w:rFonts w:hint="eastAsia" w:ascii="宋体" w:hAnsi="宋体" w:cs="宋体"/>
                <w:color w:val="auto"/>
                <w:sz w:val="24"/>
                <w:szCs w:val="24"/>
              </w:rPr>
            </w:pPr>
            <w:r>
              <w:rPr>
                <w:rFonts w:hint="eastAsia" w:ascii="宋体" w:hAnsi="宋体" w:cs="宋体"/>
                <w:color w:val="auto"/>
                <w:sz w:val="24"/>
                <w:szCs w:val="24"/>
              </w:rPr>
              <w:t>法定代表人：</w:t>
            </w:r>
          </w:p>
        </w:tc>
        <w:tc>
          <w:tcPr>
            <w:tcW w:w="4785" w:type="dxa"/>
            <w:noWrap w:val="0"/>
            <w:vAlign w:val="top"/>
          </w:tcPr>
          <w:p w14:paraId="09792D34">
            <w:pPr>
              <w:pStyle w:val="12"/>
              <w:spacing w:before="82"/>
              <w:ind w:left="107"/>
              <w:rPr>
                <w:rFonts w:hint="eastAsia" w:ascii="宋体" w:hAnsi="宋体" w:cs="宋体"/>
                <w:color w:val="auto"/>
                <w:sz w:val="24"/>
                <w:szCs w:val="24"/>
              </w:rPr>
            </w:pPr>
            <w:r>
              <w:rPr>
                <w:rFonts w:hint="eastAsia" w:ascii="宋体" w:hAnsi="宋体" w:cs="宋体"/>
                <w:color w:val="auto"/>
                <w:sz w:val="24"/>
                <w:szCs w:val="24"/>
              </w:rPr>
              <w:t>法定代表人：</w:t>
            </w:r>
          </w:p>
        </w:tc>
      </w:tr>
      <w:tr w14:paraId="2940CC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355" w:type="dxa"/>
            <w:noWrap w:val="0"/>
            <w:vAlign w:val="top"/>
          </w:tcPr>
          <w:p w14:paraId="0F25E71A">
            <w:pPr>
              <w:pStyle w:val="12"/>
              <w:spacing w:before="81"/>
              <w:ind w:left="106"/>
              <w:rPr>
                <w:rFonts w:hint="eastAsia" w:ascii="宋体" w:hAnsi="宋体" w:cs="宋体"/>
                <w:color w:val="auto"/>
                <w:sz w:val="24"/>
                <w:szCs w:val="24"/>
              </w:rPr>
            </w:pPr>
            <w:r>
              <w:rPr>
                <w:rFonts w:hint="eastAsia" w:ascii="宋体" w:hAnsi="宋体" w:cs="宋体"/>
                <w:color w:val="auto"/>
                <w:sz w:val="24"/>
                <w:szCs w:val="24"/>
              </w:rPr>
              <w:t>负责人：（签字）</w:t>
            </w:r>
          </w:p>
        </w:tc>
        <w:tc>
          <w:tcPr>
            <w:tcW w:w="4785" w:type="dxa"/>
            <w:noWrap w:val="0"/>
            <w:vAlign w:val="top"/>
          </w:tcPr>
          <w:p w14:paraId="781FAEC1">
            <w:pPr>
              <w:pStyle w:val="12"/>
              <w:spacing w:before="81"/>
              <w:ind w:left="107"/>
              <w:rPr>
                <w:rFonts w:hint="eastAsia" w:ascii="宋体" w:hAnsi="宋体" w:cs="宋体"/>
                <w:color w:val="auto"/>
                <w:sz w:val="24"/>
                <w:szCs w:val="24"/>
              </w:rPr>
            </w:pPr>
            <w:r>
              <w:rPr>
                <w:rFonts w:hint="eastAsia" w:ascii="宋体" w:hAnsi="宋体" w:cs="宋体"/>
                <w:color w:val="auto"/>
                <w:sz w:val="24"/>
                <w:szCs w:val="24"/>
              </w:rPr>
              <w:t>负责人：（签字）</w:t>
            </w:r>
          </w:p>
        </w:tc>
      </w:tr>
      <w:tr w14:paraId="55FD41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355" w:type="dxa"/>
            <w:noWrap w:val="0"/>
            <w:vAlign w:val="top"/>
          </w:tcPr>
          <w:p w14:paraId="593928C9">
            <w:pPr>
              <w:pStyle w:val="12"/>
              <w:spacing w:before="81"/>
              <w:ind w:left="106"/>
              <w:rPr>
                <w:rFonts w:hint="eastAsia" w:ascii="宋体" w:hAnsi="宋体" w:cs="宋体"/>
                <w:color w:val="auto"/>
                <w:sz w:val="24"/>
                <w:szCs w:val="24"/>
              </w:rPr>
            </w:pPr>
            <w:r>
              <w:rPr>
                <w:rFonts w:hint="eastAsia" w:ascii="宋体" w:hAnsi="宋体" w:cs="宋体"/>
                <w:color w:val="auto"/>
                <w:sz w:val="24"/>
                <w:szCs w:val="24"/>
              </w:rPr>
              <w:t>电话：</w:t>
            </w:r>
          </w:p>
        </w:tc>
        <w:tc>
          <w:tcPr>
            <w:tcW w:w="4785" w:type="dxa"/>
            <w:noWrap w:val="0"/>
            <w:vAlign w:val="top"/>
          </w:tcPr>
          <w:p w14:paraId="586DC9D2">
            <w:pPr>
              <w:pStyle w:val="12"/>
              <w:spacing w:before="81"/>
              <w:ind w:left="107"/>
              <w:rPr>
                <w:rFonts w:hint="eastAsia" w:ascii="宋体" w:hAnsi="宋体" w:cs="宋体"/>
                <w:color w:val="auto"/>
                <w:sz w:val="24"/>
                <w:szCs w:val="24"/>
              </w:rPr>
            </w:pPr>
            <w:r>
              <w:rPr>
                <w:rFonts w:hint="eastAsia" w:ascii="宋体" w:hAnsi="宋体" w:cs="宋体"/>
                <w:color w:val="auto"/>
                <w:sz w:val="24"/>
                <w:szCs w:val="24"/>
              </w:rPr>
              <w:t>电话：</w:t>
            </w:r>
          </w:p>
        </w:tc>
      </w:tr>
      <w:tr w14:paraId="169455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4355" w:type="dxa"/>
            <w:noWrap w:val="0"/>
            <w:vAlign w:val="top"/>
          </w:tcPr>
          <w:p w14:paraId="024B0DCD">
            <w:pPr>
              <w:pStyle w:val="12"/>
              <w:spacing w:before="81"/>
              <w:ind w:left="106"/>
              <w:rPr>
                <w:rFonts w:hint="eastAsia" w:ascii="宋体" w:hAnsi="宋体" w:cs="宋体"/>
                <w:color w:val="auto"/>
                <w:sz w:val="24"/>
                <w:szCs w:val="24"/>
              </w:rPr>
            </w:pPr>
            <w:r>
              <w:rPr>
                <w:rFonts w:hint="eastAsia" w:ascii="宋体" w:hAnsi="宋体" w:cs="宋体"/>
                <w:color w:val="auto"/>
                <w:sz w:val="24"/>
                <w:szCs w:val="24"/>
              </w:rPr>
              <w:t>传真：</w:t>
            </w:r>
          </w:p>
        </w:tc>
        <w:tc>
          <w:tcPr>
            <w:tcW w:w="4785" w:type="dxa"/>
            <w:noWrap w:val="0"/>
            <w:vAlign w:val="top"/>
          </w:tcPr>
          <w:p w14:paraId="71EEA348">
            <w:pPr>
              <w:pStyle w:val="12"/>
              <w:spacing w:before="81"/>
              <w:ind w:left="107"/>
              <w:rPr>
                <w:rFonts w:hint="eastAsia" w:ascii="宋体" w:hAnsi="宋体" w:cs="宋体"/>
                <w:color w:val="auto"/>
                <w:sz w:val="24"/>
                <w:szCs w:val="24"/>
              </w:rPr>
            </w:pPr>
            <w:r>
              <w:rPr>
                <w:rFonts w:hint="eastAsia" w:ascii="宋体" w:hAnsi="宋体" w:cs="宋体"/>
                <w:color w:val="auto"/>
                <w:sz w:val="24"/>
                <w:szCs w:val="24"/>
              </w:rPr>
              <w:t>传真：</w:t>
            </w:r>
          </w:p>
        </w:tc>
      </w:tr>
      <w:tr w14:paraId="2323A5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4355" w:type="dxa"/>
            <w:noWrap w:val="0"/>
            <w:vAlign w:val="top"/>
          </w:tcPr>
          <w:p w14:paraId="7CBFEC88">
            <w:pPr>
              <w:pStyle w:val="12"/>
              <w:ind w:firstLine="240" w:firstLineChars="100"/>
              <w:rPr>
                <w:rFonts w:hint="eastAsia" w:ascii="宋体" w:hAnsi="宋体" w:cs="宋体"/>
                <w:color w:val="auto"/>
                <w:sz w:val="24"/>
                <w:szCs w:val="24"/>
              </w:rPr>
            </w:pPr>
            <w:r>
              <w:rPr>
                <w:rFonts w:hint="eastAsia" w:ascii="宋体" w:hAnsi="宋体" w:cs="宋体"/>
                <w:color w:val="auto"/>
                <w:sz w:val="24"/>
                <w:szCs w:val="24"/>
              </w:rPr>
              <w:t>开户银行：</w:t>
            </w:r>
          </w:p>
        </w:tc>
        <w:tc>
          <w:tcPr>
            <w:tcW w:w="4785" w:type="dxa"/>
            <w:noWrap w:val="0"/>
            <w:vAlign w:val="top"/>
          </w:tcPr>
          <w:p w14:paraId="2CB51DF3">
            <w:pPr>
              <w:pStyle w:val="12"/>
              <w:spacing w:before="80"/>
              <w:ind w:left="107"/>
              <w:rPr>
                <w:rFonts w:hint="eastAsia" w:ascii="宋体" w:hAnsi="宋体" w:cs="宋体"/>
                <w:color w:val="auto"/>
                <w:sz w:val="24"/>
                <w:szCs w:val="24"/>
              </w:rPr>
            </w:pPr>
            <w:r>
              <w:rPr>
                <w:rFonts w:hint="eastAsia" w:ascii="宋体" w:hAnsi="宋体" w:cs="宋体"/>
                <w:color w:val="auto"/>
                <w:sz w:val="24"/>
                <w:szCs w:val="24"/>
              </w:rPr>
              <w:t>开户银行：</w:t>
            </w:r>
          </w:p>
        </w:tc>
      </w:tr>
      <w:tr w14:paraId="45BBF3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7" w:hRule="atLeast"/>
        </w:trPr>
        <w:tc>
          <w:tcPr>
            <w:tcW w:w="4355" w:type="dxa"/>
            <w:noWrap w:val="0"/>
            <w:vAlign w:val="top"/>
          </w:tcPr>
          <w:p w14:paraId="7DEACE01">
            <w:pPr>
              <w:pStyle w:val="12"/>
              <w:spacing w:before="80"/>
              <w:ind w:left="107" w:leftChars="0"/>
              <w:rPr>
                <w:rFonts w:hint="eastAsia" w:ascii="宋体" w:hAnsi="宋体" w:cs="宋体"/>
                <w:color w:val="auto"/>
                <w:sz w:val="24"/>
                <w:szCs w:val="24"/>
              </w:rPr>
            </w:pPr>
            <w:r>
              <w:rPr>
                <w:rFonts w:hint="eastAsia" w:ascii="宋体" w:hAnsi="宋体" w:cs="宋体"/>
                <w:color w:val="auto"/>
                <w:sz w:val="24"/>
                <w:szCs w:val="24"/>
              </w:rPr>
              <w:t>账号：</w:t>
            </w:r>
          </w:p>
        </w:tc>
        <w:tc>
          <w:tcPr>
            <w:tcW w:w="4785" w:type="dxa"/>
            <w:noWrap w:val="0"/>
            <w:vAlign w:val="top"/>
          </w:tcPr>
          <w:p w14:paraId="2E665ED3">
            <w:pPr>
              <w:pStyle w:val="12"/>
              <w:spacing w:before="80"/>
              <w:ind w:left="107"/>
              <w:rPr>
                <w:rFonts w:hint="eastAsia" w:ascii="宋体" w:hAnsi="宋体" w:cs="宋体"/>
                <w:color w:val="auto"/>
                <w:sz w:val="24"/>
                <w:szCs w:val="24"/>
              </w:rPr>
            </w:pPr>
            <w:r>
              <w:rPr>
                <w:rFonts w:hint="eastAsia" w:ascii="宋体" w:hAnsi="宋体" w:cs="宋体"/>
                <w:color w:val="auto"/>
                <w:sz w:val="24"/>
                <w:szCs w:val="24"/>
              </w:rPr>
              <w:t>账号：</w:t>
            </w:r>
          </w:p>
        </w:tc>
      </w:tr>
      <w:tr w14:paraId="2414AA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4355" w:type="dxa"/>
            <w:noWrap w:val="0"/>
            <w:vAlign w:val="top"/>
          </w:tcPr>
          <w:p w14:paraId="75D02364">
            <w:pPr>
              <w:pStyle w:val="12"/>
              <w:spacing w:before="80"/>
              <w:ind w:left="107" w:leftChars="0"/>
              <w:rPr>
                <w:rFonts w:hint="eastAsia" w:ascii="宋体" w:hAnsi="宋体" w:cs="宋体"/>
                <w:color w:val="auto"/>
                <w:sz w:val="24"/>
                <w:szCs w:val="24"/>
              </w:rPr>
            </w:pPr>
            <w:r>
              <w:rPr>
                <w:rFonts w:hint="eastAsia" w:ascii="宋体" w:hAnsi="宋体" w:cs="宋体"/>
                <w:color w:val="auto"/>
                <w:sz w:val="24"/>
                <w:szCs w:val="24"/>
              </w:rPr>
              <w:t>电子邮箱：</w:t>
            </w:r>
          </w:p>
        </w:tc>
        <w:tc>
          <w:tcPr>
            <w:tcW w:w="4785" w:type="dxa"/>
            <w:noWrap w:val="0"/>
            <w:vAlign w:val="top"/>
          </w:tcPr>
          <w:p w14:paraId="4B8D3CE2">
            <w:pPr>
              <w:pStyle w:val="12"/>
              <w:spacing w:before="80"/>
              <w:ind w:left="107"/>
              <w:rPr>
                <w:rFonts w:hint="eastAsia" w:ascii="宋体" w:hAnsi="宋体" w:cs="宋体"/>
                <w:color w:val="auto"/>
                <w:sz w:val="24"/>
                <w:szCs w:val="24"/>
              </w:rPr>
            </w:pPr>
            <w:r>
              <w:rPr>
                <w:rFonts w:hint="eastAsia" w:ascii="宋体" w:hAnsi="宋体" w:cs="宋体"/>
                <w:color w:val="auto"/>
                <w:sz w:val="24"/>
                <w:szCs w:val="24"/>
              </w:rPr>
              <w:t>电子邮箱：</w:t>
            </w:r>
          </w:p>
        </w:tc>
      </w:tr>
      <w:tr w14:paraId="1CAE3D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355" w:type="dxa"/>
            <w:noWrap w:val="0"/>
            <w:vAlign w:val="top"/>
          </w:tcPr>
          <w:p w14:paraId="5E9430AA">
            <w:pPr>
              <w:pStyle w:val="12"/>
              <w:tabs>
                <w:tab w:val="left" w:pos="1186"/>
                <w:tab w:val="left" w:pos="1666"/>
                <w:tab w:val="left" w:pos="2146"/>
              </w:tabs>
              <w:spacing w:before="82"/>
              <w:ind w:left="106"/>
              <w:rPr>
                <w:rFonts w:hint="eastAsia" w:ascii="宋体" w:hAnsi="宋体" w:cs="宋体"/>
                <w:color w:val="auto"/>
                <w:sz w:val="24"/>
                <w:szCs w:val="24"/>
              </w:rPr>
            </w:pPr>
            <w:r>
              <w:rPr>
                <w:rFonts w:hint="eastAsia" w:ascii="宋体" w:hAnsi="宋体" w:cs="宋体"/>
                <w:color w:val="auto"/>
                <w:sz w:val="24"/>
                <w:szCs w:val="24"/>
              </w:rPr>
              <w:t>日期：</w:t>
            </w:r>
            <w:r>
              <w:rPr>
                <w:rFonts w:hint="eastAsia" w:ascii="宋体" w:hAnsi="宋体" w:cs="宋体"/>
                <w:color w:val="auto"/>
                <w:sz w:val="24"/>
                <w:szCs w:val="24"/>
              </w:rPr>
              <w:tab/>
            </w:r>
            <w:r>
              <w:rPr>
                <w:rFonts w:hint="eastAsia" w:ascii="宋体" w:hAnsi="宋体" w:cs="宋体"/>
                <w:color w:val="auto"/>
                <w:sz w:val="24"/>
                <w:szCs w:val="24"/>
              </w:rPr>
              <w:t>年</w:t>
            </w:r>
            <w:r>
              <w:rPr>
                <w:rFonts w:hint="eastAsia" w:ascii="宋体" w:hAnsi="宋体" w:cs="宋体"/>
                <w:color w:val="auto"/>
                <w:sz w:val="24"/>
                <w:szCs w:val="24"/>
              </w:rPr>
              <w:tab/>
            </w:r>
            <w:r>
              <w:rPr>
                <w:rFonts w:hint="eastAsia" w:ascii="宋体" w:hAnsi="宋体" w:cs="宋体"/>
                <w:color w:val="auto"/>
                <w:sz w:val="24"/>
                <w:szCs w:val="24"/>
              </w:rPr>
              <w:t>月</w:t>
            </w:r>
            <w:r>
              <w:rPr>
                <w:rFonts w:hint="eastAsia" w:ascii="宋体" w:hAnsi="宋体" w:cs="宋体"/>
                <w:color w:val="auto"/>
                <w:sz w:val="24"/>
                <w:szCs w:val="24"/>
              </w:rPr>
              <w:tab/>
            </w:r>
            <w:r>
              <w:rPr>
                <w:rFonts w:hint="eastAsia" w:ascii="宋体" w:hAnsi="宋体" w:cs="宋体"/>
                <w:color w:val="auto"/>
                <w:sz w:val="24"/>
                <w:szCs w:val="24"/>
              </w:rPr>
              <w:t>日</w:t>
            </w:r>
          </w:p>
        </w:tc>
        <w:tc>
          <w:tcPr>
            <w:tcW w:w="4785" w:type="dxa"/>
            <w:noWrap w:val="0"/>
            <w:vAlign w:val="top"/>
          </w:tcPr>
          <w:p w14:paraId="51AA5505">
            <w:pPr>
              <w:pStyle w:val="12"/>
              <w:tabs>
                <w:tab w:val="left" w:pos="1187"/>
                <w:tab w:val="left" w:pos="1667"/>
                <w:tab w:val="left" w:pos="2147"/>
              </w:tabs>
              <w:spacing w:before="82"/>
              <w:ind w:left="107"/>
              <w:rPr>
                <w:rFonts w:hint="eastAsia" w:ascii="宋体" w:hAnsi="宋体" w:cs="宋体"/>
                <w:color w:val="auto"/>
                <w:sz w:val="24"/>
                <w:szCs w:val="24"/>
              </w:rPr>
            </w:pPr>
            <w:r>
              <w:rPr>
                <w:rFonts w:hint="eastAsia" w:ascii="宋体" w:hAnsi="宋体" w:cs="宋体"/>
                <w:color w:val="auto"/>
                <w:sz w:val="24"/>
                <w:szCs w:val="24"/>
              </w:rPr>
              <w:t>日期：</w:t>
            </w:r>
            <w:r>
              <w:rPr>
                <w:rFonts w:hint="eastAsia" w:ascii="宋体" w:hAnsi="宋体" w:cs="宋体"/>
                <w:color w:val="auto"/>
                <w:sz w:val="24"/>
                <w:szCs w:val="24"/>
              </w:rPr>
              <w:tab/>
            </w:r>
            <w:r>
              <w:rPr>
                <w:rFonts w:hint="eastAsia" w:ascii="宋体" w:hAnsi="宋体" w:cs="宋体"/>
                <w:color w:val="auto"/>
                <w:sz w:val="24"/>
                <w:szCs w:val="24"/>
              </w:rPr>
              <w:t>年</w:t>
            </w:r>
            <w:r>
              <w:rPr>
                <w:rFonts w:hint="eastAsia" w:ascii="宋体" w:hAnsi="宋体" w:cs="宋体"/>
                <w:color w:val="auto"/>
                <w:sz w:val="24"/>
                <w:szCs w:val="24"/>
              </w:rPr>
              <w:tab/>
            </w:r>
            <w:r>
              <w:rPr>
                <w:rFonts w:hint="eastAsia" w:ascii="宋体" w:hAnsi="宋体" w:cs="宋体"/>
                <w:color w:val="auto"/>
                <w:sz w:val="24"/>
                <w:szCs w:val="24"/>
              </w:rPr>
              <w:t>月</w:t>
            </w:r>
            <w:r>
              <w:rPr>
                <w:rFonts w:hint="eastAsia" w:ascii="宋体" w:hAnsi="宋体" w:cs="宋体"/>
                <w:color w:val="auto"/>
                <w:sz w:val="24"/>
                <w:szCs w:val="24"/>
              </w:rPr>
              <w:tab/>
            </w:r>
            <w:r>
              <w:rPr>
                <w:rFonts w:hint="eastAsia" w:ascii="宋体" w:hAnsi="宋体" w:cs="宋体"/>
                <w:color w:val="auto"/>
                <w:sz w:val="24"/>
                <w:szCs w:val="24"/>
              </w:rPr>
              <w:t>日</w:t>
            </w:r>
          </w:p>
        </w:tc>
      </w:tr>
    </w:tbl>
    <w:p w14:paraId="14952E7B"/>
    <w:p w14:paraId="4BBF114C">
      <w:r>
        <w:rPr>
          <w:rFonts w:hint="eastAsia"/>
        </w:rPr>
        <w:t xml:space="preserve">                                             </w:t>
      </w:r>
      <w:bookmarkStart w:id="2" w:name="_GoBack"/>
      <w:bookmarkEnd w:id="2"/>
    </w:p>
    <w:sectPr>
      <w:footerReference r:id="rId3" w:type="default"/>
      <w:pgSz w:w="11906" w:h="16838"/>
      <w:pgMar w:top="1304" w:right="1361" w:bottom="1304"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E29CE5">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99A16C3">
                          <w:pPr>
                            <w:pStyle w:val="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199A16C3">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544918"/>
    <w:rsid w:val="10264A33"/>
    <w:rsid w:val="1F5E168C"/>
    <w:rsid w:val="236D646B"/>
    <w:rsid w:val="24AA1001"/>
    <w:rsid w:val="2E9D6073"/>
    <w:rsid w:val="34592C5E"/>
    <w:rsid w:val="38257A27"/>
    <w:rsid w:val="5A9C6FAA"/>
    <w:rsid w:val="61C256A4"/>
    <w:rsid w:val="6238338A"/>
    <w:rsid w:val="64244097"/>
    <w:rsid w:val="67160032"/>
    <w:rsid w:val="77061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link w:val="9"/>
    <w:qFormat/>
    <w:uiPriority w:val="0"/>
    <w:pPr>
      <w:widowControl/>
      <w:spacing w:before="120" w:after="240" w:line="600" w:lineRule="exact"/>
      <w:ind w:right="238"/>
      <w:jc w:val="center"/>
      <w:outlineLvl w:val="0"/>
    </w:pPr>
    <w:rPr>
      <w:rFonts w:ascii="宋体" w:hAnsi="宋体" w:eastAsia="宋体" w:cs="宋体"/>
      <w:b/>
      <w:bCs/>
      <w:snapToGrid w:val="0"/>
      <w:color w:val="000000"/>
      <w:kern w:val="36"/>
      <w:sz w:val="30"/>
      <w:szCs w:val="14"/>
      <w:lang w:eastAsia="en-US"/>
    </w:rPr>
  </w:style>
  <w:style w:type="paragraph" w:styleId="3">
    <w:name w:val="heading 2"/>
    <w:basedOn w:val="1"/>
    <w:next w:val="1"/>
    <w:link w:val="10"/>
    <w:semiHidden/>
    <w:unhideWhenUsed/>
    <w:qFormat/>
    <w:uiPriority w:val="0"/>
    <w:pPr>
      <w:keepNext/>
      <w:keepLines/>
      <w:spacing w:before="260" w:after="260" w:line="560" w:lineRule="exact"/>
      <w:jc w:val="center"/>
      <w:outlineLvl w:val="1"/>
    </w:pPr>
    <w:rPr>
      <w:rFonts w:ascii="Cambria" w:hAnsi="Cambria" w:eastAsia="宋体" w:cs="Times New Roman"/>
      <w:b/>
      <w:bCs/>
      <w:snapToGrid w:val="0"/>
      <w:color w:val="000000"/>
      <w:kern w:val="0"/>
      <w:sz w:val="30"/>
      <w:szCs w:val="32"/>
      <w:lang w:eastAsia="en-US"/>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Arial" w:hAnsi="Arial" w:eastAsia="Arial" w:cs="Arial"/>
      <w:b/>
      <w:snapToGrid w:val="0"/>
      <w:color w:val="000000"/>
      <w:kern w:val="0"/>
      <w:sz w:val="32"/>
      <w:szCs w:val="21"/>
      <w:lang w:eastAsia="en-US"/>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Body Text"/>
    <w:basedOn w:val="1"/>
    <w:uiPriority w:val="0"/>
    <w:pPr>
      <w:spacing w:after="120" w:afterLines="0" w:afterAutospacing="0"/>
    </w:pPr>
  </w:style>
  <w:style w:type="paragraph" w:styleId="6">
    <w:name w:val="footer"/>
    <w:basedOn w:val="1"/>
    <w:unhideWhenUsed/>
    <w:qFormat/>
    <w:uiPriority w:val="99"/>
    <w:pPr>
      <w:tabs>
        <w:tab w:val="center" w:pos="4153"/>
        <w:tab w:val="right" w:pos="8306"/>
      </w:tabs>
      <w:snapToGrid w:val="0"/>
      <w:jc w:val="left"/>
    </w:pPr>
    <w:rPr>
      <w:sz w:val="18"/>
      <w:szCs w:val="18"/>
    </w:rPr>
  </w:style>
  <w:style w:type="character" w:customStyle="1" w:styleId="9">
    <w:name w:val="标题 1 Char"/>
    <w:basedOn w:val="8"/>
    <w:link w:val="2"/>
    <w:qFormat/>
    <w:uiPriority w:val="0"/>
    <w:rPr>
      <w:rFonts w:ascii="宋体" w:hAnsi="宋体" w:eastAsia="宋体" w:cs="宋体"/>
      <w:b/>
      <w:bCs/>
      <w:snapToGrid w:val="0"/>
      <w:color w:val="000000"/>
      <w:kern w:val="36"/>
      <w:sz w:val="30"/>
      <w:szCs w:val="14"/>
      <w:lang w:eastAsia="en-US"/>
    </w:rPr>
  </w:style>
  <w:style w:type="character" w:customStyle="1" w:styleId="10">
    <w:name w:val="标题 2 Char"/>
    <w:link w:val="3"/>
    <w:qFormat/>
    <w:uiPriority w:val="0"/>
    <w:rPr>
      <w:rFonts w:ascii="Cambria" w:hAnsi="Cambria" w:eastAsia="宋体" w:cs="Times New Roman"/>
      <w:b/>
      <w:bCs/>
      <w:snapToGrid w:val="0"/>
      <w:color w:val="000000"/>
      <w:kern w:val="0"/>
      <w:sz w:val="30"/>
      <w:szCs w:val="32"/>
      <w:lang w:eastAsia="en-US"/>
    </w:rPr>
  </w:style>
  <w:style w:type="paragraph" w:customStyle="1" w:styleId="11">
    <w:name w:val="@正文"/>
    <w:basedOn w:val="1"/>
    <w:qFormat/>
    <w:uiPriority w:val="0"/>
    <w:pPr>
      <w:widowControl/>
      <w:ind w:firstLine="200" w:firstLineChars="200"/>
      <w:jc w:val="left"/>
    </w:pPr>
    <w:rPr>
      <w:rFonts w:cs="等线"/>
      <w:color w:val="000000"/>
      <w:kern w:val="24"/>
      <w:sz w:val="24"/>
      <w:szCs w:val="24"/>
    </w:rPr>
  </w:style>
  <w:style w:type="paragraph" w:customStyle="1" w:styleId="12">
    <w:name w:val="Table Paragraph"/>
    <w:basedOn w:val="1"/>
    <w:qFormat/>
    <w:uiPriority w:val="0"/>
    <w:pPr>
      <w:jc w:val="left"/>
    </w:pPr>
    <w:rPr>
      <w:rFonts w:ascii="Calibri" w:hAnsi="Calibri"/>
      <w:kern w:val="0"/>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2025-04-14T02:55:00Z</dcterms:created>
  <dc:creator>SXZYT</dc:creator>
  <cp:lastModifiedBy>快乐猫</cp:lastModifiedBy>
  <dcterms:modified xsi:type="dcterms:W3CDTF">2025-11-25T04:03:20Z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88960F0020374DB78E3D12BA91E078CC_12</vt:lpwstr>
  </property>
  <property fmtid="{D5CDD505-2E9C-101B-9397-08002B2CF9AE}" pid="4" name="KSOTemplateDocerSaveRecord">
    <vt:lpwstr>eyJoZGlkIjoiOGYzOGJlZTQxYzY3ZWY4ODg1YmNmNTNiZDdlZGNlMDciLCJ1c2VySWQiOiIxNTE3ODQyNzU3In0=</vt:lpwstr>
  </property>
</Properties>
</file>