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ind w:firstLine="0" w:firstLineChars="0"/>
        <w:jc w:val="center"/>
        <w:rPr>
          <w:rFonts w:hint="eastAsia" w:ascii="仿宋" w:hAnsi="仿宋" w:eastAsia="仿宋" w:cs="仿宋"/>
          <w:sz w:val="32"/>
          <w:szCs w:val="32"/>
        </w:rPr>
      </w:pPr>
      <w:bookmarkStart w:id="0" w:name="_Toc60928907"/>
      <w:bookmarkStart w:id="1" w:name="_Toc60929139"/>
      <w:bookmarkStart w:id="2" w:name="_Toc22087"/>
      <w:bookmarkStart w:id="3" w:name="_Toc31205"/>
      <w:r>
        <w:rPr>
          <w:rFonts w:hint="eastAsia" w:ascii="仿宋" w:hAnsi="仿宋" w:eastAsia="仿宋" w:cs="仿宋"/>
          <w:sz w:val="32"/>
          <w:szCs w:val="32"/>
          <w:lang w:eastAsia="zh-CN"/>
        </w:rPr>
        <w:t>谈判最后</w:t>
      </w:r>
      <w:r>
        <w:rPr>
          <w:rFonts w:hint="eastAsia" w:ascii="仿宋" w:hAnsi="仿宋" w:eastAsia="仿宋" w:cs="仿宋"/>
          <w:sz w:val="32"/>
          <w:szCs w:val="32"/>
        </w:rPr>
        <w:t>分项报价表</w:t>
      </w:r>
      <w:bookmarkEnd w:id="0"/>
      <w:bookmarkEnd w:id="1"/>
      <w:bookmarkEnd w:id="2"/>
      <w:bookmarkEnd w:id="3"/>
    </w:p>
    <w:p>
      <w:pPr>
        <w:pStyle w:val="2"/>
        <w:jc w:val="center"/>
        <w:rPr>
          <w:rFonts w:hint="eastAsia" w:ascii="仿宋" w:hAnsi="仿宋" w:eastAsia="仿宋" w:cs="仿宋"/>
          <w:kern w:val="0"/>
          <w:sz w:val="24"/>
          <w:szCs w:val="28"/>
        </w:rPr>
      </w:pPr>
      <w:r>
        <w:rPr>
          <w:rFonts w:hint="eastAsia" w:ascii="仿宋" w:hAnsi="仿宋" w:eastAsia="仿宋" w:cs="仿宋"/>
          <w:kern w:val="0"/>
          <w:sz w:val="24"/>
          <w:szCs w:val="28"/>
        </w:rPr>
        <w:t>（</w:t>
      </w:r>
      <w:r>
        <w:rPr>
          <w:rFonts w:hint="eastAsia" w:ascii="仿宋" w:hAnsi="仿宋" w:eastAsia="仿宋" w:cs="仿宋"/>
          <w:kern w:val="0"/>
          <w:sz w:val="24"/>
          <w:szCs w:val="28"/>
          <w:lang w:eastAsia="zh-CN"/>
        </w:rPr>
        <w:t>最后报价时上传至附件</w:t>
      </w:r>
      <w:r>
        <w:rPr>
          <w:rFonts w:hint="eastAsia" w:ascii="仿宋" w:hAnsi="仿宋" w:eastAsia="仿宋" w:cs="仿宋"/>
          <w:kern w:val="0"/>
          <w:sz w:val="24"/>
          <w:szCs w:val="28"/>
        </w:rPr>
        <w:t>）</w:t>
      </w:r>
    </w:p>
    <w:p>
      <w:pPr>
        <w:pStyle w:val="4"/>
      </w:pPr>
      <w:bookmarkStart w:id="4" w:name="_GoBack"/>
      <w:bookmarkEnd w:id="4"/>
    </w:p>
    <w:p>
      <w:pPr>
        <w:wordWrap w:val="0"/>
        <w:autoSpaceDE w:val="0"/>
        <w:autoSpaceDN w:val="0"/>
        <w:adjustRightInd w:val="0"/>
        <w:snapToGrid w:val="0"/>
        <w:spacing w:line="360" w:lineRule="auto"/>
        <w:ind w:right="1680"/>
        <w:jc w:val="both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 xml:space="preserve">项目名称：                  </w:t>
      </w:r>
    </w:p>
    <w:p>
      <w:pPr>
        <w:wordWrap w:val="0"/>
        <w:autoSpaceDE w:val="0"/>
        <w:autoSpaceDN w:val="0"/>
        <w:adjustRightInd w:val="0"/>
        <w:snapToGrid w:val="0"/>
        <w:spacing w:line="360" w:lineRule="auto"/>
        <w:ind w:right="1680"/>
        <w:jc w:val="both"/>
        <w:rPr>
          <w:rFonts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 xml:space="preserve">项目编号：        </w:t>
      </w:r>
    </w:p>
    <w:tbl>
      <w:tblPr>
        <w:tblStyle w:val="11"/>
        <w:tblW w:w="997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80"/>
        <w:gridCol w:w="920"/>
        <w:gridCol w:w="847"/>
        <w:gridCol w:w="1009"/>
        <w:gridCol w:w="1748"/>
        <w:gridCol w:w="1425"/>
        <w:gridCol w:w="937"/>
        <w:gridCol w:w="1244"/>
        <w:gridCol w:w="106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8" w:hRule="atLeast"/>
        </w:trPr>
        <w:tc>
          <w:tcPr>
            <w:tcW w:w="780" w:type="dxa"/>
            <w:vMerge w:val="restart"/>
          </w:tcPr>
          <w:p>
            <w:pPr>
              <w:rPr>
                <w:sz w:val="28"/>
                <w:szCs w:val="36"/>
              </w:rPr>
            </w:pPr>
          </w:p>
          <w:p>
            <w:pPr>
              <w:rPr>
                <w:sz w:val="28"/>
                <w:szCs w:val="36"/>
              </w:rPr>
            </w:pPr>
          </w:p>
          <w:p>
            <w:pPr>
              <w:rPr>
                <w:sz w:val="28"/>
                <w:szCs w:val="36"/>
              </w:rPr>
            </w:pPr>
            <w:r>
              <w:rPr>
                <w:rFonts w:hint="eastAsia"/>
                <w:sz w:val="28"/>
                <w:szCs w:val="36"/>
              </w:rPr>
              <w:t>产品</w:t>
            </w:r>
          </w:p>
          <w:p>
            <w:pPr>
              <w:rPr>
                <w:sz w:val="28"/>
                <w:szCs w:val="36"/>
              </w:rPr>
            </w:pPr>
            <w:r>
              <w:rPr>
                <w:rFonts w:hint="eastAsia"/>
                <w:sz w:val="28"/>
                <w:szCs w:val="36"/>
              </w:rPr>
              <w:t>费用</w:t>
            </w:r>
          </w:p>
        </w:tc>
        <w:tc>
          <w:tcPr>
            <w:tcW w:w="920" w:type="dxa"/>
          </w:tcPr>
          <w:p>
            <w:pPr>
              <w:jc w:val="both"/>
              <w:rPr>
                <w:sz w:val="28"/>
                <w:szCs w:val="36"/>
              </w:rPr>
            </w:pPr>
          </w:p>
          <w:p>
            <w:pPr>
              <w:jc w:val="both"/>
              <w:rPr>
                <w:rFonts w:eastAsiaTheme="minorEastAsia"/>
                <w:sz w:val="28"/>
                <w:szCs w:val="36"/>
              </w:rPr>
            </w:pPr>
            <w:r>
              <w:rPr>
                <w:rFonts w:hint="eastAsia"/>
                <w:sz w:val="28"/>
                <w:szCs w:val="36"/>
              </w:rPr>
              <w:t>序号</w:t>
            </w:r>
          </w:p>
        </w:tc>
        <w:tc>
          <w:tcPr>
            <w:tcW w:w="847" w:type="dxa"/>
          </w:tcPr>
          <w:p>
            <w:pPr>
              <w:jc w:val="both"/>
              <w:rPr>
                <w:sz w:val="28"/>
                <w:szCs w:val="36"/>
              </w:rPr>
            </w:pPr>
          </w:p>
          <w:p>
            <w:pPr>
              <w:jc w:val="both"/>
              <w:rPr>
                <w:rFonts w:eastAsiaTheme="minorEastAsia"/>
                <w:sz w:val="28"/>
                <w:szCs w:val="36"/>
              </w:rPr>
            </w:pPr>
            <w:r>
              <w:rPr>
                <w:rFonts w:hint="eastAsia"/>
                <w:sz w:val="28"/>
                <w:szCs w:val="36"/>
              </w:rPr>
              <w:t>名称</w:t>
            </w:r>
          </w:p>
        </w:tc>
        <w:tc>
          <w:tcPr>
            <w:tcW w:w="1009" w:type="dxa"/>
          </w:tcPr>
          <w:p>
            <w:pPr>
              <w:jc w:val="both"/>
              <w:rPr>
                <w:rFonts w:hint="eastAsia"/>
                <w:sz w:val="28"/>
                <w:szCs w:val="36"/>
              </w:rPr>
            </w:pPr>
          </w:p>
          <w:p>
            <w:pPr>
              <w:jc w:val="both"/>
              <w:rPr>
                <w:rFonts w:eastAsiaTheme="minorEastAsia"/>
                <w:sz w:val="28"/>
                <w:szCs w:val="36"/>
              </w:rPr>
            </w:pPr>
            <w:r>
              <w:rPr>
                <w:rFonts w:hint="eastAsia"/>
                <w:sz w:val="28"/>
                <w:szCs w:val="36"/>
              </w:rPr>
              <w:t>品牌</w:t>
            </w:r>
          </w:p>
        </w:tc>
        <w:tc>
          <w:tcPr>
            <w:tcW w:w="1748" w:type="dxa"/>
          </w:tcPr>
          <w:p>
            <w:pPr>
              <w:jc w:val="both"/>
              <w:rPr>
                <w:rFonts w:hint="eastAsia"/>
                <w:sz w:val="28"/>
                <w:szCs w:val="36"/>
              </w:rPr>
            </w:pPr>
          </w:p>
          <w:p>
            <w:pPr>
              <w:jc w:val="both"/>
              <w:rPr>
                <w:rFonts w:hint="eastAsia"/>
                <w:sz w:val="28"/>
                <w:szCs w:val="36"/>
              </w:rPr>
            </w:pPr>
            <w:r>
              <w:rPr>
                <w:rFonts w:hint="eastAsia"/>
                <w:sz w:val="28"/>
                <w:szCs w:val="36"/>
              </w:rPr>
              <w:t>型号和规格</w:t>
            </w:r>
          </w:p>
        </w:tc>
        <w:tc>
          <w:tcPr>
            <w:tcW w:w="1425" w:type="dxa"/>
          </w:tcPr>
          <w:p>
            <w:pPr>
              <w:rPr>
                <w:rFonts w:eastAsiaTheme="minorEastAsia"/>
                <w:sz w:val="28"/>
                <w:szCs w:val="36"/>
              </w:rPr>
            </w:pPr>
            <w:r>
              <w:rPr>
                <w:rFonts w:hint="eastAsia"/>
                <w:sz w:val="28"/>
                <w:szCs w:val="36"/>
              </w:rPr>
              <w:t>原产地及制造厂名</w:t>
            </w:r>
          </w:p>
        </w:tc>
        <w:tc>
          <w:tcPr>
            <w:tcW w:w="937" w:type="dxa"/>
          </w:tcPr>
          <w:p>
            <w:pPr>
              <w:rPr>
                <w:sz w:val="28"/>
                <w:szCs w:val="36"/>
              </w:rPr>
            </w:pPr>
          </w:p>
          <w:p>
            <w:pPr>
              <w:rPr>
                <w:rFonts w:eastAsiaTheme="minorEastAsia"/>
                <w:sz w:val="28"/>
                <w:szCs w:val="36"/>
              </w:rPr>
            </w:pPr>
            <w:r>
              <w:rPr>
                <w:rFonts w:hint="eastAsia"/>
                <w:sz w:val="28"/>
                <w:szCs w:val="36"/>
              </w:rPr>
              <w:t>数量</w:t>
            </w:r>
          </w:p>
        </w:tc>
        <w:tc>
          <w:tcPr>
            <w:tcW w:w="1244" w:type="dxa"/>
          </w:tcPr>
          <w:p>
            <w:pPr>
              <w:jc w:val="center"/>
              <w:rPr>
                <w:rFonts w:eastAsiaTheme="minorEastAsia"/>
                <w:sz w:val="28"/>
                <w:szCs w:val="36"/>
              </w:rPr>
            </w:pPr>
            <w:r>
              <w:rPr>
                <w:rFonts w:hint="eastAsia"/>
                <w:sz w:val="28"/>
                <w:szCs w:val="36"/>
              </w:rPr>
              <w:t>单价（元）</w:t>
            </w:r>
          </w:p>
        </w:tc>
        <w:tc>
          <w:tcPr>
            <w:tcW w:w="1065" w:type="dxa"/>
          </w:tcPr>
          <w:p>
            <w:pPr>
              <w:jc w:val="center"/>
              <w:rPr>
                <w:rFonts w:eastAsiaTheme="minorEastAsia"/>
                <w:sz w:val="28"/>
                <w:szCs w:val="36"/>
              </w:rPr>
            </w:pPr>
            <w:r>
              <w:rPr>
                <w:rFonts w:hint="eastAsia"/>
                <w:sz w:val="28"/>
                <w:szCs w:val="36"/>
              </w:rPr>
              <w:t>总价（元）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80" w:type="dxa"/>
            <w:vMerge w:val="continue"/>
          </w:tcPr>
          <w:p>
            <w:pPr>
              <w:rPr>
                <w:sz w:val="28"/>
                <w:szCs w:val="36"/>
              </w:rPr>
            </w:pPr>
          </w:p>
        </w:tc>
        <w:tc>
          <w:tcPr>
            <w:tcW w:w="920" w:type="dxa"/>
          </w:tcPr>
          <w:p>
            <w:pPr>
              <w:jc w:val="center"/>
              <w:rPr>
                <w:rFonts w:eastAsiaTheme="minorEastAsia"/>
                <w:sz w:val="28"/>
                <w:szCs w:val="36"/>
              </w:rPr>
            </w:pPr>
            <w:r>
              <w:rPr>
                <w:rFonts w:hint="eastAsia"/>
                <w:sz w:val="28"/>
                <w:szCs w:val="36"/>
              </w:rPr>
              <w:t>1</w:t>
            </w:r>
          </w:p>
        </w:tc>
        <w:tc>
          <w:tcPr>
            <w:tcW w:w="847" w:type="dxa"/>
          </w:tcPr>
          <w:p>
            <w:pPr>
              <w:rPr>
                <w:sz w:val="28"/>
                <w:szCs w:val="36"/>
              </w:rPr>
            </w:pPr>
          </w:p>
        </w:tc>
        <w:tc>
          <w:tcPr>
            <w:tcW w:w="1009" w:type="dxa"/>
          </w:tcPr>
          <w:p>
            <w:pPr>
              <w:rPr>
                <w:sz w:val="28"/>
                <w:szCs w:val="36"/>
              </w:rPr>
            </w:pPr>
          </w:p>
        </w:tc>
        <w:tc>
          <w:tcPr>
            <w:tcW w:w="1748" w:type="dxa"/>
          </w:tcPr>
          <w:p>
            <w:pPr>
              <w:rPr>
                <w:sz w:val="28"/>
                <w:szCs w:val="36"/>
              </w:rPr>
            </w:pPr>
          </w:p>
        </w:tc>
        <w:tc>
          <w:tcPr>
            <w:tcW w:w="1425" w:type="dxa"/>
          </w:tcPr>
          <w:p>
            <w:pPr>
              <w:rPr>
                <w:sz w:val="28"/>
                <w:szCs w:val="36"/>
              </w:rPr>
            </w:pPr>
          </w:p>
        </w:tc>
        <w:tc>
          <w:tcPr>
            <w:tcW w:w="937" w:type="dxa"/>
          </w:tcPr>
          <w:p>
            <w:pPr>
              <w:rPr>
                <w:sz w:val="28"/>
                <w:szCs w:val="36"/>
              </w:rPr>
            </w:pPr>
          </w:p>
        </w:tc>
        <w:tc>
          <w:tcPr>
            <w:tcW w:w="1244" w:type="dxa"/>
          </w:tcPr>
          <w:p>
            <w:pPr>
              <w:rPr>
                <w:sz w:val="28"/>
                <w:szCs w:val="36"/>
              </w:rPr>
            </w:pPr>
          </w:p>
        </w:tc>
        <w:tc>
          <w:tcPr>
            <w:tcW w:w="1065" w:type="dxa"/>
          </w:tcPr>
          <w:p>
            <w:pPr>
              <w:rPr>
                <w:sz w:val="28"/>
                <w:szCs w:val="36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80" w:type="dxa"/>
            <w:vMerge w:val="continue"/>
          </w:tcPr>
          <w:p>
            <w:pPr>
              <w:rPr>
                <w:sz w:val="28"/>
                <w:szCs w:val="36"/>
              </w:rPr>
            </w:pPr>
          </w:p>
        </w:tc>
        <w:tc>
          <w:tcPr>
            <w:tcW w:w="920" w:type="dxa"/>
          </w:tcPr>
          <w:p>
            <w:pPr>
              <w:jc w:val="center"/>
              <w:rPr>
                <w:rFonts w:eastAsiaTheme="minorEastAsia"/>
                <w:sz w:val="28"/>
                <w:szCs w:val="36"/>
              </w:rPr>
            </w:pPr>
            <w:r>
              <w:rPr>
                <w:rFonts w:hint="eastAsia"/>
                <w:sz w:val="28"/>
                <w:szCs w:val="36"/>
              </w:rPr>
              <w:t>2</w:t>
            </w:r>
          </w:p>
        </w:tc>
        <w:tc>
          <w:tcPr>
            <w:tcW w:w="847" w:type="dxa"/>
          </w:tcPr>
          <w:p>
            <w:pPr>
              <w:rPr>
                <w:sz w:val="28"/>
                <w:szCs w:val="36"/>
              </w:rPr>
            </w:pPr>
          </w:p>
        </w:tc>
        <w:tc>
          <w:tcPr>
            <w:tcW w:w="1009" w:type="dxa"/>
          </w:tcPr>
          <w:p>
            <w:pPr>
              <w:rPr>
                <w:sz w:val="28"/>
                <w:szCs w:val="36"/>
              </w:rPr>
            </w:pPr>
          </w:p>
        </w:tc>
        <w:tc>
          <w:tcPr>
            <w:tcW w:w="1748" w:type="dxa"/>
          </w:tcPr>
          <w:p>
            <w:pPr>
              <w:rPr>
                <w:sz w:val="28"/>
                <w:szCs w:val="36"/>
              </w:rPr>
            </w:pPr>
          </w:p>
        </w:tc>
        <w:tc>
          <w:tcPr>
            <w:tcW w:w="1425" w:type="dxa"/>
          </w:tcPr>
          <w:p>
            <w:pPr>
              <w:rPr>
                <w:sz w:val="28"/>
                <w:szCs w:val="36"/>
              </w:rPr>
            </w:pPr>
          </w:p>
        </w:tc>
        <w:tc>
          <w:tcPr>
            <w:tcW w:w="937" w:type="dxa"/>
          </w:tcPr>
          <w:p>
            <w:pPr>
              <w:rPr>
                <w:sz w:val="28"/>
                <w:szCs w:val="36"/>
              </w:rPr>
            </w:pPr>
          </w:p>
        </w:tc>
        <w:tc>
          <w:tcPr>
            <w:tcW w:w="1244" w:type="dxa"/>
          </w:tcPr>
          <w:p>
            <w:pPr>
              <w:rPr>
                <w:sz w:val="28"/>
                <w:szCs w:val="36"/>
              </w:rPr>
            </w:pPr>
          </w:p>
        </w:tc>
        <w:tc>
          <w:tcPr>
            <w:tcW w:w="1065" w:type="dxa"/>
          </w:tcPr>
          <w:p>
            <w:pPr>
              <w:rPr>
                <w:sz w:val="28"/>
                <w:szCs w:val="36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80" w:type="dxa"/>
            <w:vMerge w:val="continue"/>
          </w:tcPr>
          <w:p>
            <w:pPr>
              <w:rPr>
                <w:sz w:val="28"/>
                <w:szCs w:val="36"/>
              </w:rPr>
            </w:pPr>
          </w:p>
        </w:tc>
        <w:tc>
          <w:tcPr>
            <w:tcW w:w="920" w:type="dxa"/>
          </w:tcPr>
          <w:p>
            <w:pPr>
              <w:jc w:val="center"/>
              <w:rPr>
                <w:rFonts w:eastAsiaTheme="minorEastAsia"/>
                <w:sz w:val="28"/>
                <w:szCs w:val="36"/>
              </w:rPr>
            </w:pPr>
            <w:r>
              <w:rPr>
                <w:rFonts w:hint="eastAsia"/>
                <w:sz w:val="28"/>
                <w:szCs w:val="36"/>
              </w:rPr>
              <w:t>3</w:t>
            </w:r>
          </w:p>
        </w:tc>
        <w:tc>
          <w:tcPr>
            <w:tcW w:w="847" w:type="dxa"/>
          </w:tcPr>
          <w:p>
            <w:pPr>
              <w:rPr>
                <w:sz w:val="28"/>
                <w:szCs w:val="36"/>
              </w:rPr>
            </w:pPr>
          </w:p>
        </w:tc>
        <w:tc>
          <w:tcPr>
            <w:tcW w:w="1009" w:type="dxa"/>
          </w:tcPr>
          <w:p>
            <w:pPr>
              <w:rPr>
                <w:sz w:val="28"/>
                <w:szCs w:val="36"/>
              </w:rPr>
            </w:pPr>
          </w:p>
        </w:tc>
        <w:tc>
          <w:tcPr>
            <w:tcW w:w="1748" w:type="dxa"/>
          </w:tcPr>
          <w:p>
            <w:pPr>
              <w:rPr>
                <w:sz w:val="28"/>
                <w:szCs w:val="36"/>
              </w:rPr>
            </w:pPr>
          </w:p>
        </w:tc>
        <w:tc>
          <w:tcPr>
            <w:tcW w:w="1425" w:type="dxa"/>
          </w:tcPr>
          <w:p>
            <w:pPr>
              <w:rPr>
                <w:sz w:val="28"/>
                <w:szCs w:val="36"/>
              </w:rPr>
            </w:pPr>
          </w:p>
        </w:tc>
        <w:tc>
          <w:tcPr>
            <w:tcW w:w="937" w:type="dxa"/>
          </w:tcPr>
          <w:p>
            <w:pPr>
              <w:rPr>
                <w:sz w:val="28"/>
                <w:szCs w:val="36"/>
              </w:rPr>
            </w:pPr>
          </w:p>
        </w:tc>
        <w:tc>
          <w:tcPr>
            <w:tcW w:w="1244" w:type="dxa"/>
          </w:tcPr>
          <w:p>
            <w:pPr>
              <w:rPr>
                <w:sz w:val="28"/>
                <w:szCs w:val="36"/>
              </w:rPr>
            </w:pPr>
          </w:p>
        </w:tc>
        <w:tc>
          <w:tcPr>
            <w:tcW w:w="1065" w:type="dxa"/>
          </w:tcPr>
          <w:p>
            <w:pPr>
              <w:rPr>
                <w:sz w:val="28"/>
                <w:szCs w:val="36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80" w:type="dxa"/>
            <w:vMerge w:val="continue"/>
          </w:tcPr>
          <w:p>
            <w:pPr>
              <w:rPr>
                <w:sz w:val="28"/>
                <w:szCs w:val="36"/>
              </w:rPr>
            </w:pPr>
          </w:p>
        </w:tc>
        <w:tc>
          <w:tcPr>
            <w:tcW w:w="920" w:type="dxa"/>
          </w:tcPr>
          <w:p>
            <w:pPr>
              <w:rPr>
                <w:sz w:val="28"/>
                <w:szCs w:val="36"/>
              </w:rPr>
            </w:pPr>
            <w:r>
              <w:rPr>
                <w:rFonts w:hint="eastAsia"/>
                <w:sz w:val="28"/>
                <w:szCs w:val="36"/>
              </w:rPr>
              <w:t>......</w:t>
            </w:r>
          </w:p>
        </w:tc>
        <w:tc>
          <w:tcPr>
            <w:tcW w:w="847" w:type="dxa"/>
          </w:tcPr>
          <w:p>
            <w:pPr>
              <w:rPr>
                <w:sz w:val="28"/>
                <w:szCs w:val="36"/>
              </w:rPr>
            </w:pPr>
          </w:p>
        </w:tc>
        <w:tc>
          <w:tcPr>
            <w:tcW w:w="1009" w:type="dxa"/>
          </w:tcPr>
          <w:p>
            <w:pPr>
              <w:rPr>
                <w:sz w:val="28"/>
                <w:szCs w:val="36"/>
              </w:rPr>
            </w:pPr>
          </w:p>
        </w:tc>
        <w:tc>
          <w:tcPr>
            <w:tcW w:w="1748" w:type="dxa"/>
          </w:tcPr>
          <w:p>
            <w:pPr>
              <w:rPr>
                <w:sz w:val="28"/>
                <w:szCs w:val="36"/>
              </w:rPr>
            </w:pPr>
          </w:p>
        </w:tc>
        <w:tc>
          <w:tcPr>
            <w:tcW w:w="1425" w:type="dxa"/>
          </w:tcPr>
          <w:p>
            <w:pPr>
              <w:rPr>
                <w:sz w:val="28"/>
                <w:szCs w:val="36"/>
              </w:rPr>
            </w:pPr>
          </w:p>
        </w:tc>
        <w:tc>
          <w:tcPr>
            <w:tcW w:w="937" w:type="dxa"/>
          </w:tcPr>
          <w:p>
            <w:pPr>
              <w:rPr>
                <w:sz w:val="28"/>
                <w:szCs w:val="36"/>
              </w:rPr>
            </w:pPr>
          </w:p>
        </w:tc>
        <w:tc>
          <w:tcPr>
            <w:tcW w:w="1244" w:type="dxa"/>
          </w:tcPr>
          <w:p>
            <w:pPr>
              <w:rPr>
                <w:sz w:val="28"/>
                <w:szCs w:val="36"/>
              </w:rPr>
            </w:pPr>
          </w:p>
        </w:tc>
        <w:tc>
          <w:tcPr>
            <w:tcW w:w="1065" w:type="dxa"/>
          </w:tcPr>
          <w:p>
            <w:pPr>
              <w:rPr>
                <w:sz w:val="28"/>
                <w:szCs w:val="36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9" w:hRule="atLeast"/>
        </w:trPr>
        <w:tc>
          <w:tcPr>
            <w:tcW w:w="780" w:type="dxa"/>
            <w:vMerge w:val="continue"/>
          </w:tcPr>
          <w:p>
            <w:pPr>
              <w:rPr>
                <w:sz w:val="28"/>
                <w:szCs w:val="36"/>
              </w:rPr>
            </w:pPr>
          </w:p>
        </w:tc>
        <w:tc>
          <w:tcPr>
            <w:tcW w:w="920" w:type="dxa"/>
          </w:tcPr>
          <w:p>
            <w:pPr>
              <w:rPr>
                <w:sz w:val="28"/>
                <w:szCs w:val="36"/>
              </w:rPr>
            </w:pPr>
            <w:r>
              <w:rPr>
                <w:rFonts w:hint="eastAsia"/>
                <w:sz w:val="28"/>
                <w:szCs w:val="36"/>
              </w:rPr>
              <w:t>......</w:t>
            </w:r>
          </w:p>
        </w:tc>
        <w:tc>
          <w:tcPr>
            <w:tcW w:w="847" w:type="dxa"/>
          </w:tcPr>
          <w:p>
            <w:pPr>
              <w:rPr>
                <w:sz w:val="28"/>
                <w:szCs w:val="36"/>
              </w:rPr>
            </w:pPr>
          </w:p>
        </w:tc>
        <w:tc>
          <w:tcPr>
            <w:tcW w:w="1009" w:type="dxa"/>
          </w:tcPr>
          <w:p>
            <w:pPr>
              <w:rPr>
                <w:sz w:val="28"/>
                <w:szCs w:val="36"/>
              </w:rPr>
            </w:pPr>
          </w:p>
        </w:tc>
        <w:tc>
          <w:tcPr>
            <w:tcW w:w="1748" w:type="dxa"/>
          </w:tcPr>
          <w:p>
            <w:pPr>
              <w:rPr>
                <w:sz w:val="28"/>
                <w:szCs w:val="36"/>
              </w:rPr>
            </w:pPr>
          </w:p>
        </w:tc>
        <w:tc>
          <w:tcPr>
            <w:tcW w:w="1425" w:type="dxa"/>
          </w:tcPr>
          <w:p>
            <w:pPr>
              <w:rPr>
                <w:sz w:val="28"/>
                <w:szCs w:val="36"/>
              </w:rPr>
            </w:pPr>
          </w:p>
        </w:tc>
        <w:tc>
          <w:tcPr>
            <w:tcW w:w="937" w:type="dxa"/>
          </w:tcPr>
          <w:p>
            <w:pPr>
              <w:rPr>
                <w:sz w:val="28"/>
                <w:szCs w:val="36"/>
              </w:rPr>
            </w:pPr>
          </w:p>
        </w:tc>
        <w:tc>
          <w:tcPr>
            <w:tcW w:w="1244" w:type="dxa"/>
          </w:tcPr>
          <w:p>
            <w:pPr>
              <w:rPr>
                <w:sz w:val="28"/>
                <w:szCs w:val="36"/>
              </w:rPr>
            </w:pPr>
          </w:p>
        </w:tc>
        <w:tc>
          <w:tcPr>
            <w:tcW w:w="1065" w:type="dxa"/>
          </w:tcPr>
          <w:p>
            <w:pPr>
              <w:rPr>
                <w:sz w:val="28"/>
                <w:szCs w:val="36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2547" w:type="dxa"/>
            <w:gridSpan w:val="3"/>
          </w:tcPr>
          <w:p>
            <w:pPr>
              <w:tabs>
                <w:tab w:val="left" w:pos="1035"/>
              </w:tabs>
              <w:rPr>
                <w:rFonts w:hint="eastAsia"/>
                <w:sz w:val="28"/>
                <w:szCs w:val="36"/>
              </w:rPr>
            </w:pPr>
            <w:r>
              <w:rPr>
                <w:rFonts w:hint="eastAsia"/>
                <w:sz w:val="28"/>
                <w:szCs w:val="36"/>
              </w:rPr>
              <w:t>投标总报价</w:t>
            </w:r>
          </w:p>
        </w:tc>
        <w:tc>
          <w:tcPr>
            <w:tcW w:w="7428" w:type="dxa"/>
            <w:gridSpan w:val="6"/>
          </w:tcPr>
          <w:p>
            <w:pPr>
              <w:tabs>
                <w:tab w:val="left" w:pos="1035"/>
              </w:tabs>
              <w:rPr>
                <w:rFonts w:eastAsiaTheme="minorEastAsia"/>
                <w:sz w:val="28"/>
                <w:szCs w:val="36"/>
              </w:rPr>
            </w:pPr>
            <w:r>
              <w:rPr>
                <w:rFonts w:hint="eastAsia"/>
                <w:sz w:val="28"/>
                <w:szCs w:val="36"/>
              </w:rPr>
              <w:t>大写：                     小写：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7" w:hRule="atLeast"/>
        </w:trPr>
        <w:tc>
          <w:tcPr>
            <w:tcW w:w="2547" w:type="dxa"/>
            <w:gridSpan w:val="3"/>
          </w:tcPr>
          <w:p>
            <w:pPr>
              <w:rPr>
                <w:rFonts w:hint="eastAsia"/>
                <w:sz w:val="28"/>
                <w:szCs w:val="36"/>
              </w:rPr>
            </w:pPr>
            <w:r>
              <w:rPr>
                <w:rFonts w:hint="eastAsia"/>
                <w:sz w:val="28"/>
                <w:szCs w:val="36"/>
              </w:rPr>
              <w:t>备注</w:t>
            </w:r>
          </w:p>
        </w:tc>
        <w:tc>
          <w:tcPr>
            <w:tcW w:w="7428" w:type="dxa"/>
            <w:gridSpan w:val="6"/>
          </w:tcPr>
          <w:p>
            <w:pPr>
              <w:rPr>
                <w:rFonts w:eastAsiaTheme="minorEastAsia"/>
                <w:sz w:val="28"/>
                <w:szCs w:val="36"/>
              </w:rPr>
            </w:pPr>
            <w:r>
              <w:rPr>
                <w:rFonts w:hint="eastAsia"/>
                <w:sz w:val="28"/>
                <w:szCs w:val="36"/>
              </w:rPr>
              <w:t>报价保留小数点后两位。</w:t>
            </w:r>
          </w:p>
        </w:tc>
      </w:tr>
    </w:tbl>
    <w:p>
      <w:pPr>
        <w:wordWrap w:val="0"/>
        <w:autoSpaceDE w:val="0"/>
        <w:autoSpaceDN w:val="0"/>
        <w:adjustRightInd w:val="0"/>
        <w:snapToGrid w:val="0"/>
        <w:spacing w:line="360" w:lineRule="auto"/>
        <w:ind w:right="1680" w:firstLine="120" w:firstLineChars="50"/>
        <w:rPr>
          <w:rFonts w:ascii="仿宋" w:hAnsi="仿宋" w:eastAsia="仿宋" w:cs="仿宋"/>
          <w:sz w:val="24"/>
        </w:rPr>
      </w:pPr>
    </w:p>
    <w:p>
      <w:pPr>
        <w:wordWrap w:val="0"/>
        <w:autoSpaceDE w:val="0"/>
        <w:autoSpaceDN w:val="0"/>
        <w:adjustRightInd w:val="0"/>
        <w:snapToGrid w:val="0"/>
        <w:spacing w:line="360" w:lineRule="auto"/>
        <w:ind w:right="1680"/>
        <w:rPr>
          <w:rFonts w:ascii="仿宋" w:hAnsi="仿宋" w:eastAsia="仿宋" w:cs="仿宋"/>
          <w:szCs w:val="28"/>
        </w:rPr>
      </w:pPr>
    </w:p>
    <w:p>
      <w:pPr>
        <w:pStyle w:val="7"/>
        <w:snapToGrid w:val="0"/>
        <w:spacing w:line="360" w:lineRule="auto"/>
        <w:ind w:left="-206" w:leftChars="-98" w:firstLineChars="200"/>
        <w:rPr>
          <w:rFonts w:ascii="仿宋" w:hAnsi="仿宋" w:eastAsia="仿宋" w:cs="仿宋"/>
          <w:szCs w:val="28"/>
        </w:rPr>
      </w:pPr>
      <w:r>
        <w:rPr>
          <w:rFonts w:hint="eastAsia" w:ascii="仿宋" w:hAnsi="仿宋" w:eastAsia="仿宋" w:cs="仿宋"/>
          <w:szCs w:val="28"/>
        </w:rPr>
        <w:t>依据“采购内容”中的项目分项填写，分项报价总和须与最终投标总价一致。</w:t>
      </w:r>
    </w:p>
    <w:p>
      <w:pPr>
        <w:adjustRightInd w:val="0"/>
        <w:snapToGrid w:val="0"/>
        <w:spacing w:line="360" w:lineRule="auto"/>
        <w:ind w:firstLine="120" w:firstLineChars="50"/>
        <w:rPr>
          <w:rFonts w:ascii="仿宋" w:hAnsi="仿宋" w:eastAsia="仿宋" w:cs="仿宋"/>
          <w:sz w:val="24"/>
        </w:rPr>
      </w:pPr>
    </w:p>
    <w:p>
      <w:pPr>
        <w:pStyle w:val="8"/>
        <w:ind w:left="0" w:leftChars="0" w:firstLine="0" w:firstLineChars="0"/>
        <w:rPr>
          <w:rFonts w:ascii="仿宋" w:hAnsi="仿宋" w:eastAsia="仿宋" w:cs="仿宋"/>
        </w:rPr>
      </w:pPr>
    </w:p>
    <w:p>
      <w:pPr>
        <w:pStyle w:val="9"/>
        <w:ind w:firstLine="480"/>
        <w:rPr>
          <w:rFonts w:ascii="仿宋" w:hAnsi="仿宋" w:eastAsia="仿宋" w:cs="仿宋"/>
        </w:rPr>
      </w:pPr>
    </w:p>
    <w:p/>
    <w:p>
      <w:pPr>
        <w:adjustRightInd w:val="0"/>
        <w:snapToGrid w:val="0"/>
        <w:spacing w:line="360" w:lineRule="auto"/>
        <w:ind w:firstLine="360" w:firstLineChars="150"/>
        <w:rPr>
          <w:rFonts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供应商                         法定代表人或授权代表</w:t>
      </w:r>
    </w:p>
    <w:p>
      <w:pPr>
        <w:adjustRightInd w:val="0"/>
        <w:snapToGrid w:val="0"/>
        <w:spacing w:line="360" w:lineRule="auto"/>
        <w:ind w:left="-525" w:leftChars="-250" w:firstLine="960" w:firstLineChars="400"/>
        <w:rPr>
          <w:rFonts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（公章）：                          （签字或盖章）：</w:t>
      </w:r>
    </w:p>
    <w:p>
      <w:pPr>
        <w:pStyle w:val="6"/>
        <w:spacing w:line="360" w:lineRule="auto"/>
        <w:ind w:left="1080" w:leftChars="257" w:hanging="540"/>
        <w:rPr>
          <w:rFonts w:ascii="仿宋" w:hAnsi="仿宋" w:eastAsia="仿宋" w:cs="仿宋"/>
          <w:sz w:val="24"/>
        </w:rPr>
      </w:pPr>
    </w:p>
    <w:p>
      <w:pPr>
        <w:jc w:val="right"/>
      </w:pPr>
      <w:r>
        <w:rPr>
          <w:rFonts w:hint="eastAsia"/>
        </w:rPr>
        <w:t>日 期： 年 月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Arial Unicode MS">
    <w:altName w:val="宋体"/>
    <w:panose1 w:val="020B0604020202020204"/>
    <w:charset w:val="86"/>
    <w:family w:val="roman"/>
    <w:pitch w:val="default"/>
    <w:sig w:usb0="00000000" w:usb1="00000000" w:usb2="0000003F" w:usb3="00000000" w:csb0="603F01FF" w:csb1="FFFF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YwNTMzNDA1OTNhMzk1M2Y3YTkxYWEwODFlM2YzOTcifQ=="/>
  </w:docVars>
  <w:rsids>
    <w:rsidRoot w:val="46681ECA"/>
    <w:rsid w:val="0B502C67"/>
    <w:rsid w:val="33613486"/>
    <w:rsid w:val="46681ECA"/>
    <w:rsid w:val="516A23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qFormat="1"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3"/>
    <w:basedOn w:val="1"/>
    <w:next w:val="4"/>
    <w:qFormat/>
    <w:uiPriority w:val="0"/>
    <w:pPr>
      <w:keepNext/>
      <w:keepLines/>
      <w:autoSpaceDE w:val="0"/>
      <w:autoSpaceDN w:val="0"/>
      <w:adjustRightInd w:val="0"/>
      <w:spacing w:line="360" w:lineRule="auto"/>
      <w:ind w:firstLine="3453" w:firstLineChars="1150"/>
      <w:jc w:val="left"/>
      <w:outlineLvl w:val="2"/>
    </w:pPr>
    <w:rPr>
      <w:rFonts w:ascii="宋体" w:hAnsi="宋体"/>
      <w:b/>
      <w:kern w:val="0"/>
      <w:sz w:val="30"/>
      <w:szCs w:val="30"/>
      <w:shd w:val="clear" w:color="auto" w:fill="FFFFFF"/>
    </w:rPr>
  </w:style>
  <w:style w:type="character" w:default="1" w:styleId="12">
    <w:name w:val="Default Paragraph Font"/>
    <w:semiHidden/>
    <w:qFormat/>
    <w:uiPriority w:val="0"/>
  </w:style>
  <w:style w:type="table" w:default="1" w:styleId="10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tabs>
        <w:tab w:val="left" w:pos="567"/>
      </w:tabs>
      <w:spacing w:before="120" w:line="22" w:lineRule="atLeast"/>
    </w:pPr>
    <w:rPr>
      <w:rFonts w:ascii="宋体" w:hAnsi="宋体"/>
      <w:sz w:val="24"/>
    </w:rPr>
  </w:style>
  <w:style w:type="paragraph" w:styleId="4">
    <w:name w:val="Normal Indent"/>
    <w:basedOn w:val="1"/>
    <w:qFormat/>
    <w:uiPriority w:val="0"/>
    <w:pPr>
      <w:autoSpaceDE w:val="0"/>
      <w:autoSpaceDN w:val="0"/>
      <w:adjustRightInd w:val="0"/>
      <w:ind w:firstLine="420"/>
      <w:jc w:val="left"/>
    </w:pPr>
    <w:rPr>
      <w:rFonts w:ascii="宋体"/>
      <w:kern w:val="0"/>
      <w:sz w:val="24"/>
      <w:szCs w:val="20"/>
    </w:rPr>
  </w:style>
  <w:style w:type="paragraph" w:styleId="5">
    <w:name w:val="Body Text Indent"/>
    <w:basedOn w:val="1"/>
    <w:next w:val="1"/>
    <w:qFormat/>
    <w:uiPriority w:val="0"/>
    <w:pPr>
      <w:spacing w:line="360" w:lineRule="auto"/>
      <w:ind w:firstLine="570"/>
    </w:pPr>
    <w:rPr>
      <w:sz w:val="24"/>
    </w:rPr>
  </w:style>
  <w:style w:type="paragraph" w:styleId="6">
    <w:name w:val="Plain Text"/>
    <w:basedOn w:val="1"/>
    <w:qFormat/>
    <w:uiPriority w:val="0"/>
    <w:rPr>
      <w:rFonts w:ascii="宋体" w:hAnsi="Courier New"/>
      <w:szCs w:val="20"/>
    </w:rPr>
  </w:style>
  <w:style w:type="paragraph" w:styleId="7">
    <w:name w:val="Body Text Indent 3"/>
    <w:basedOn w:val="1"/>
    <w:qFormat/>
    <w:uiPriority w:val="0"/>
    <w:pPr>
      <w:autoSpaceDE w:val="0"/>
      <w:autoSpaceDN w:val="0"/>
      <w:adjustRightInd w:val="0"/>
      <w:spacing w:before="120" w:line="22" w:lineRule="atLeast"/>
      <w:ind w:left="720" w:firstLine="480"/>
      <w:jc w:val="left"/>
    </w:pPr>
    <w:rPr>
      <w:rFonts w:ascii="宋体"/>
      <w:kern w:val="0"/>
      <w:sz w:val="24"/>
      <w:szCs w:val="20"/>
    </w:rPr>
  </w:style>
  <w:style w:type="paragraph" w:styleId="8">
    <w:name w:val="Body Text First Indent"/>
    <w:basedOn w:val="2"/>
    <w:next w:val="9"/>
    <w:qFormat/>
    <w:uiPriority w:val="0"/>
    <w:pPr>
      <w:ind w:firstLine="420" w:firstLineChars="100"/>
    </w:pPr>
  </w:style>
  <w:style w:type="paragraph" w:styleId="9">
    <w:name w:val="Body Text First Indent 2"/>
    <w:basedOn w:val="5"/>
    <w:next w:val="1"/>
    <w:qFormat/>
    <w:uiPriority w:val="0"/>
    <w:pPr>
      <w:spacing w:after="120" w:line="240" w:lineRule="auto"/>
      <w:ind w:left="420" w:leftChars="200" w:firstLine="420" w:firstLineChars="200"/>
    </w:pPr>
  </w:style>
  <w:style w:type="table" w:styleId="11">
    <w:name w:val="Table Grid"/>
    <w:basedOn w:val="10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2024-01-13T15:23:00Z</dcterms:created>
  <dc:creator>小葵</dc:creator>
  <cp:lastModifiedBy>Administrator</cp:lastModifiedBy>
  <dcterms:modified xsi:type="dcterms:W3CDTF">2025-12-08T01:20:52Z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  <property fmtid="{D5CDD505-2E9C-101B-9397-08002B2CF9AE}" pid="3" name="ICV">
    <vt:lpwstr>872140A00A3E46BF8EE5336109576FBF_11</vt:lpwstr>
  </property>
</Properties>
</file>