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A01681">
      <w:pPr>
        <w:spacing w:after="156" w:afterLines="50" w:line="360" w:lineRule="auto"/>
        <w:jc w:val="center"/>
        <w:rPr>
          <w:rFonts w:hint="eastAsia" w:ascii="新宋体" w:hAnsi="新宋体" w:eastAsia="新宋体" w:cs="新宋体"/>
          <w:b/>
          <w:bCs/>
          <w:sz w:val="36"/>
          <w:szCs w:val="36"/>
        </w:rPr>
      </w:pPr>
      <w:r>
        <w:rPr>
          <w:rFonts w:hint="eastAsia" w:ascii="新宋体" w:hAnsi="新宋体" w:eastAsia="新宋体" w:cs="新宋体"/>
          <w:b/>
          <w:bCs/>
          <w:sz w:val="36"/>
          <w:szCs w:val="36"/>
        </w:rPr>
        <w:t>米家崖及西大街交易大厅协助运维项目合同</w:t>
      </w:r>
    </w:p>
    <w:p w14:paraId="7EE63FA5">
      <w:pPr>
        <w:spacing w:before="312" w:beforeLines="100" w:after="312" w:afterLines="100" w:line="480" w:lineRule="exact"/>
        <w:ind w:firstLine="6023" w:firstLineChars="2500"/>
        <w:rPr>
          <w:rFonts w:hint="eastAsia" w:ascii="新宋体" w:hAnsi="新宋体" w:eastAsia="新宋体" w:cs="新宋体"/>
          <w:b/>
          <w:bCs/>
          <w:sz w:val="24"/>
        </w:rPr>
      </w:pPr>
      <w:r>
        <w:rPr>
          <w:rFonts w:hint="eastAsia" w:ascii="新宋体" w:hAnsi="新宋体" w:eastAsia="新宋体" w:cs="新宋体"/>
          <w:b/>
          <w:bCs/>
          <w:sz w:val="24"/>
        </w:rPr>
        <w:t xml:space="preserve">合同编号： </w:t>
      </w:r>
    </w:p>
    <w:p w14:paraId="4BF07B51">
      <w:pPr>
        <w:spacing w:line="500" w:lineRule="exact"/>
        <w:ind w:firstLine="482" w:firstLineChars="200"/>
        <w:rPr>
          <w:rFonts w:hint="eastAsia" w:ascii="新宋体" w:hAnsi="新宋体" w:eastAsia="新宋体" w:cs="新宋体"/>
          <w:sz w:val="24"/>
          <w:szCs w:val="24"/>
        </w:rPr>
      </w:pPr>
      <w:r>
        <w:rPr>
          <w:rFonts w:hint="eastAsia" w:ascii="新宋体" w:hAnsi="新宋体" w:eastAsia="新宋体" w:cs="新宋体"/>
          <w:b/>
          <w:bCs/>
          <w:sz w:val="24"/>
          <w:szCs w:val="24"/>
        </w:rPr>
        <w:t>委托方（以下简称“甲方”）：</w:t>
      </w:r>
      <w:r>
        <w:rPr>
          <w:rFonts w:hint="eastAsia" w:ascii="新宋体" w:hAnsi="新宋体" w:eastAsia="新宋体" w:cs="新宋体"/>
          <w:sz w:val="24"/>
          <w:szCs w:val="24"/>
        </w:rPr>
        <w:t>西安市房产交易管理中心</w:t>
      </w:r>
    </w:p>
    <w:p w14:paraId="0DF527F2">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代表人：</w:t>
      </w:r>
    </w:p>
    <w:p w14:paraId="6A63D8D3">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地址：</w:t>
      </w:r>
    </w:p>
    <w:p w14:paraId="64ECA920">
      <w:pPr>
        <w:spacing w:after="156" w:afterLines="50"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联系电话：</w:t>
      </w:r>
    </w:p>
    <w:p w14:paraId="07B518C3">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受托方（以下简称乙方）：</w:t>
      </w:r>
    </w:p>
    <w:p w14:paraId="7CF8AC62">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法定代表人：</w:t>
      </w:r>
    </w:p>
    <w:p w14:paraId="368956D4">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地址：</w:t>
      </w:r>
    </w:p>
    <w:p w14:paraId="567D8750">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联系电话：</w:t>
      </w:r>
    </w:p>
    <w:p w14:paraId="5AD232EE">
      <w:pPr>
        <w:spacing w:before="156" w:beforeLines="50" w:line="500" w:lineRule="exact"/>
        <w:ind w:firstLine="480" w:firstLineChars="200"/>
        <w:rPr>
          <w:rFonts w:hint="eastAsia" w:ascii="新宋体" w:hAnsi="新宋体" w:eastAsia="新宋体" w:cs="新宋体"/>
          <w:sz w:val="24"/>
          <w:szCs w:val="24"/>
          <w:highlight w:val="none"/>
        </w:rPr>
      </w:pPr>
      <w:r>
        <w:rPr>
          <w:rFonts w:hint="eastAsia" w:ascii="新宋体" w:hAnsi="新宋体" w:eastAsia="新宋体" w:cs="新宋体"/>
          <w:sz w:val="24"/>
          <w:szCs w:val="24"/>
          <w:highlight w:val="none"/>
        </w:rPr>
        <w:t>为切实提高西安市房产交易管理中心</w:t>
      </w:r>
      <w:r>
        <w:rPr>
          <w:rFonts w:hint="eastAsia" w:ascii="新宋体" w:hAnsi="新宋体" w:eastAsia="新宋体" w:cs="新宋体"/>
          <w:sz w:val="24"/>
          <w:szCs w:val="24"/>
          <w:highlight w:val="none"/>
          <w:lang w:val="en-US" w:eastAsia="zh-CN"/>
        </w:rPr>
        <w:t>办事</w:t>
      </w:r>
      <w:r>
        <w:rPr>
          <w:rFonts w:hint="eastAsia" w:ascii="新宋体" w:hAnsi="新宋体" w:eastAsia="新宋体" w:cs="新宋体"/>
          <w:sz w:val="24"/>
          <w:szCs w:val="24"/>
          <w:highlight w:val="none"/>
        </w:rPr>
        <w:t>大厅的对外服务能力，不断增强人民群众对办事大厅的满意度。根据《中华人民共和国民法典》及有关法律法规之规定，在自愿、平等、协商一致的基础上，甲方将</w:t>
      </w:r>
      <w:r>
        <w:rPr>
          <w:rFonts w:hint="eastAsia" w:ascii="新宋体" w:hAnsi="新宋体" w:eastAsia="新宋体" w:cs="新宋体"/>
          <w:sz w:val="24"/>
          <w:szCs w:val="24"/>
          <w:highlight w:val="none"/>
          <w:u w:val="single"/>
          <w:lang w:val="en-US" w:eastAsia="zh-CN"/>
        </w:rPr>
        <w:t>米家崖及西大街交易大厅协助运维项目</w:t>
      </w:r>
      <w:r>
        <w:rPr>
          <w:rFonts w:hint="eastAsia" w:ascii="新宋体" w:hAnsi="新宋体" w:eastAsia="新宋体" w:cs="新宋体"/>
          <w:sz w:val="24"/>
          <w:szCs w:val="24"/>
          <w:highlight w:val="none"/>
        </w:rPr>
        <w:t>委托给乙方进行日常运营管理维护，订立本合同，以兹共同遵守。</w:t>
      </w:r>
    </w:p>
    <w:p w14:paraId="45FEBD08">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第一条 项目基本情况</w:t>
      </w:r>
    </w:p>
    <w:p w14:paraId="0CB1FFE3">
      <w:pPr>
        <w:spacing w:line="500" w:lineRule="exact"/>
        <w:ind w:firstLine="480" w:firstLineChars="200"/>
        <w:rPr>
          <w:rFonts w:hint="eastAsia" w:ascii="新宋体" w:hAnsi="新宋体" w:eastAsia="新宋体" w:cs="新宋体"/>
          <w:sz w:val="24"/>
          <w:szCs w:val="24"/>
          <w:highlight w:val="none"/>
        </w:rPr>
      </w:pPr>
      <w:r>
        <w:rPr>
          <w:rFonts w:hint="eastAsia" w:ascii="新宋体" w:hAnsi="新宋体" w:eastAsia="新宋体" w:cs="新宋体"/>
          <w:sz w:val="24"/>
          <w:szCs w:val="24"/>
          <w:highlight w:val="none"/>
        </w:rPr>
        <w:t>1.运营项目位置：本合同约定的运营服务地点坐落于</w:t>
      </w:r>
      <w:r>
        <w:rPr>
          <w:rFonts w:hint="eastAsia" w:ascii="新宋体" w:hAnsi="新宋体" w:eastAsia="新宋体" w:cs="新宋体"/>
          <w:sz w:val="24"/>
          <w:szCs w:val="24"/>
          <w:highlight w:val="none"/>
          <w:u w:val="single"/>
          <w:lang w:val="en-US" w:eastAsia="zh-CN"/>
        </w:rPr>
        <w:t xml:space="preserve">                           </w:t>
      </w:r>
      <w:r>
        <w:rPr>
          <w:rFonts w:hint="eastAsia" w:ascii="新宋体" w:hAnsi="新宋体" w:eastAsia="新宋体" w:cs="新宋体"/>
          <w:sz w:val="24"/>
          <w:szCs w:val="24"/>
          <w:highlight w:val="none"/>
        </w:rPr>
        <w:t>。</w:t>
      </w:r>
    </w:p>
    <w:p w14:paraId="6559D656">
      <w:pPr>
        <w:spacing w:line="500" w:lineRule="exact"/>
        <w:ind w:firstLine="480" w:firstLineChars="200"/>
        <w:rPr>
          <w:rFonts w:hint="eastAsia" w:ascii="新宋体" w:hAnsi="新宋体" w:eastAsia="新宋体" w:cs="新宋体"/>
          <w:sz w:val="24"/>
          <w:szCs w:val="24"/>
          <w:highlight w:val="none"/>
        </w:rPr>
      </w:pPr>
      <w:r>
        <w:rPr>
          <w:rFonts w:hint="eastAsia" w:ascii="新宋体" w:hAnsi="新宋体" w:eastAsia="新宋体" w:cs="新宋体"/>
          <w:sz w:val="24"/>
          <w:szCs w:val="24"/>
          <w:highlight w:val="none"/>
        </w:rPr>
        <w:t>2.运营服务范围：</w:t>
      </w:r>
      <w:r>
        <w:rPr>
          <w:rFonts w:hint="eastAsia" w:ascii="新宋体" w:hAnsi="新宋体" w:eastAsia="新宋体" w:cs="新宋体"/>
          <w:sz w:val="24"/>
          <w:szCs w:val="24"/>
          <w:highlight w:val="none"/>
          <w:lang w:val="en-US" w:eastAsia="zh-CN"/>
        </w:rPr>
        <w:t>米家崖及西大街交易大厅</w:t>
      </w:r>
      <w:r>
        <w:rPr>
          <w:rFonts w:hint="eastAsia" w:ascii="新宋体" w:hAnsi="新宋体" w:eastAsia="新宋体" w:cs="新宋体"/>
          <w:sz w:val="24"/>
          <w:szCs w:val="24"/>
          <w:highlight w:val="none"/>
        </w:rPr>
        <w:t>。</w:t>
      </w:r>
    </w:p>
    <w:p w14:paraId="56461C5E">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第二条 运营服务期限</w:t>
      </w:r>
    </w:p>
    <w:p w14:paraId="03212882">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1.甲方委托乙方进行运营服务的期限为</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年。自</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年</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月</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日起至</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年</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月</w:t>
      </w:r>
      <w:r>
        <w:rPr>
          <w:rFonts w:hint="eastAsia" w:ascii="新宋体" w:hAnsi="新宋体" w:eastAsia="新宋体" w:cs="新宋体"/>
          <w:sz w:val="24"/>
          <w:szCs w:val="24"/>
          <w:u w:val="single"/>
        </w:rPr>
        <w:t xml:space="preserve">   </w:t>
      </w:r>
      <w:r>
        <w:rPr>
          <w:rFonts w:hint="eastAsia" w:ascii="新宋体" w:hAnsi="新宋体" w:eastAsia="新宋体" w:cs="新宋体"/>
          <w:sz w:val="24"/>
          <w:szCs w:val="24"/>
        </w:rPr>
        <w:t>日止。</w:t>
      </w:r>
    </w:p>
    <w:p w14:paraId="412FE2FB">
      <w:pPr>
        <w:spacing w:line="480" w:lineRule="auto"/>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2.本合同约定的物业服务期限届满后，甲方根据考核结果决定是否续签。</w:t>
      </w:r>
    </w:p>
    <w:p w14:paraId="1E30F3A3">
      <w:pPr>
        <w:spacing w:line="480" w:lineRule="auto"/>
        <w:ind w:firstLine="482" w:firstLineChars="200"/>
        <w:rPr>
          <w:rFonts w:hint="default" w:ascii="新宋体" w:hAnsi="新宋体" w:eastAsia="新宋体" w:cs="新宋体"/>
          <w:b/>
          <w:bCs/>
          <w:sz w:val="24"/>
          <w:szCs w:val="24"/>
          <w:highlight w:val="none"/>
          <w:lang w:val="en-US" w:eastAsia="zh-CN"/>
        </w:rPr>
      </w:pPr>
      <w:r>
        <w:rPr>
          <w:rFonts w:hint="eastAsia" w:ascii="新宋体" w:hAnsi="新宋体" w:eastAsia="新宋体" w:cs="新宋体"/>
          <w:b/>
          <w:bCs/>
          <w:sz w:val="24"/>
          <w:szCs w:val="24"/>
          <w:highlight w:val="none"/>
        </w:rPr>
        <w:t>第三条 运营服务</w:t>
      </w:r>
      <w:r>
        <w:rPr>
          <w:rFonts w:hint="eastAsia" w:ascii="新宋体" w:hAnsi="新宋体" w:eastAsia="新宋体" w:cs="新宋体"/>
          <w:b/>
          <w:bCs/>
          <w:sz w:val="24"/>
          <w:szCs w:val="24"/>
          <w:highlight w:val="none"/>
          <w:lang w:val="en-US" w:eastAsia="zh-CN"/>
        </w:rPr>
        <w:t>及要求</w:t>
      </w:r>
    </w:p>
    <w:p w14:paraId="69AD0E3C">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1.办事大厅转件服务</w:t>
      </w:r>
    </w:p>
    <w:p w14:paraId="19B7B2D3">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转移整理资料及档案并往返于各行政单位和职能部门的业务往来服务。办事大厅提供的转件服务人员不少于1人，提供的车辆服务不少于1辆。</w:t>
      </w:r>
    </w:p>
    <w:p w14:paraId="7F9153D4">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2.引导+服务</w:t>
      </w:r>
    </w:p>
    <w:p w14:paraId="067D3289">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服务大厅办事引导、业务咨询、政策宣传等工作。人员配备要求：不少于7人；均应当具备大专以上学历，具备相应的工作能力，身体健康，形象好，气质佳，待人和蔼，无犯罪等不良记录。</w:t>
      </w:r>
    </w:p>
    <w:p w14:paraId="23714E71">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3.免费代办服务</w:t>
      </w:r>
    </w:p>
    <w:p w14:paraId="40627452">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帮助办事群众进行存量房合同填写、了解交易办事流程，为办事群众提供高效便捷的服务体验。人员配备要求：不少于2人；均应当具备大专以上学历，具备相应的工作能力，身体健康，形象好，气质佳，待人和蔼，无犯罪等不良记录。</w:t>
      </w:r>
    </w:p>
    <w:p w14:paraId="753244EB">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4.“办不成事”反映服务</w:t>
      </w:r>
    </w:p>
    <w:p w14:paraId="7B394A51">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对群众在业务办理时因政策、系统、材料要件以及办理程序等原因办不成或多次办问题，进行协调解释。人员配备要求：不少于2人；均应当具备大专以上学历，具备相应的工作能力，具备较强的抗压能力，身体健康，待人和蔼，无犯罪等不良记录。</w:t>
      </w:r>
    </w:p>
    <w:p w14:paraId="78BE55FD">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5.互联网+自助服务</w:t>
      </w:r>
    </w:p>
    <w:p w14:paraId="1E8BAF76">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互联网+房产交易”网上办、二手房交易业务“一窗办”两种模式，实现办事群众即来即办。人员配备要求：不少于2人；均应当具备大专以上学历，具备相应的工作能力，具备较强的语言表达沟通能力，身体健康，待人和蔼，无犯罪等不良记录。</w:t>
      </w:r>
    </w:p>
    <w:p w14:paraId="3BE6439A">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6.金融宣传服务</w:t>
      </w:r>
    </w:p>
    <w:p w14:paraId="423F0AF7">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通过“线上＋线下”双模式提升大厅特色服务。人员配备要求：不少于2人；均应当具备大专以上学历，具备相应的工作能力，具备较强的语言表达沟通能力，熟悉相关业务政策，待人和蔼，无犯罪等不良记录。</w:t>
      </w:r>
    </w:p>
    <w:p w14:paraId="6E183839">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7.业务培训服务</w:t>
      </w:r>
    </w:p>
    <w:p w14:paraId="2F1D01AE">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定期内部业务、礼仪、安全等多领域的主题培训提升大厅工作人员的办事能力。人员配备要求：不少于2人；均应当具备大专以上学历，具备相应的工作能力，具备较强的语言表达沟通能力，身体健康，待人和蔼，无犯罪等不良记录。</w:t>
      </w:r>
    </w:p>
    <w:p w14:paraId="7C2FA9F2">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8.综合耗材及检修服务</w:t>
      </w:r>
    </w:p>
    <w:p w14:paraId="3F3DE2C7">
      <w:pPr>
        <w:spacing w:line="500" w:lineRule="exact"/>
        <w:ind w:firstLine="480" w:firstLineChars="200"/>
        <w:rPr>
          <w:rFonts w:hint="eastAsia" w:ascii="新宋体" w:hAnsi="新宋体" w:eastAsia="新宋体" w:cs="新宋体"/>
          <w:b w:val="0"/>
          <w:bCs w:val="0"/>
          <w:sz w:val="24"/>
          <w:szCs w:val="24"/>
          <w:lang w:val="en-US" w:eastAsia="zh-CN"/>
        </w:rPr>
      </w:pPr>
      <w:r>
        <w:rPr>
          <w:rFonts w:hint="eastAsia" w:ascii="新宋体" w:hAnsi="新宋体" w:eastAsia="新宋体" w:cs="新宋体"/>
          <w:b w:val="0"/>
          <w:bCs w:val="0"/>
          <w:sz w:val="24"/>
          <w:szCs w:val="24"/>
          <w:lang w:val="en-US" w:eastAsia="zh-CN"/>
        </w:rPr>
        <w:t>办公耗材、保洁耗材、工程耗材、弱电设备等耗材采买及检修，保证大厅的稳步运营。</w:t>
      </w:r>
    </w:p>
    <w:p w14:paraId="77476407">
      <w:pPr>
        <w:spacing w:line="500" w:lineRule="exact"/>
        <w:ind w:firstLine="480" w:firstLineChars="200"/>
        <w:rPr>
          <w:rFonts w:hint="eastAsia" w:ascii="新宋体" w:hAnsi="新宋体" w:eastAsia="新宋体" w:cs="新宋体"/>
          <w:b/>
          <w:bCs/>
          <w:sz w:val="24"/>
          <w:szCs w:val="24"/>
        </w:rPr>
      </w:pPr>
      <w:r>
        <w:rPr>
          <w:rFonts w:hint="eastAsia" w:ascii="新宋体" w:hAnsi="新宋体" w:eastAsia="新宋体" w:cs="新宋体"/>
          <w:b w:val="0"/>
          <w:bCs w:val="0"/>
          <w:sz w:val="24"/>
          <w:szCs w:val="24"/>
          <w:lang w:val="en-US" w:eastAsia="zh-CN"/>
        </w:rPr>
        <w:t>需满足的要求:相关服务人员需具备行业内工作经验不少于1年。</w:t>
      </w:r>
    </w:p>
    <w:p w14:paraId="21154A3C">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w:t>
      </w:r>
      <w:r>
        <w:rPr>
          <w:rFonts w:hint="eastAsia" w:ascii="新宋体" w:hAnsi="新宋体" w:eastAsia="新宋体" w:cs="新宋体"/>
          <w:b/>
          <w:bCs/>
          <w:sz w:val="24"/>
          <w:szCs w:val="24"/>
          <w:lang w:val="en-US" w:eastAsia="zh-CN"/>
        </w:rPr>
        <w:t>四</w:t>
      </w:r>
      <w:r>
        <w:rPr>
          <w:rFonts w:hint="eastAsia" w:ascii="新宋体" w:hAnsi="新宋体" w:eastAsia="新宋体" w:cs="新宋体"/>
          <w:b/>
          <w:bCs/>
          <w:sz w:val="24"/>
          <w:szCs w:val="24"/>
        </w:rPr>
        <w:t>条 运营服务考核</w:t>
      </w:r>
    </w:p>
    <w:p w14:paraId="77832AB6">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1.甲方对乙方提供的服务通过绩效评估、绩效目标管理、绩效运行监控、绩效评价管理、评价结果应用等环节开展绩效管理。</w:t>
      </w:r>
    </w:p>
    <w:p w14:paraId="5C12A328">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2.甲方针对乙方提供给的服务制定绩效考核方案（具体方案详见附件1）。乙方认可并承诺按照甲方的考核方案完成服务工作，自愿接受甲方及其委托的第三方开展的绩效考核。</w:t>
      </w:r>
    </w:p>
    <w:p w14:paraId="194F41C6">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3.甲方或其委托的第三方按季度对乙方进行绩效考核评价。绩效考核评价结果将作为甲方决定是否续签合同、扣除相应服务费的重要参考依据。</w:t>
      </w:r>
    </w:p>
    <w:p w14:paraId="49E254C8">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4.甲方对乙方的绩效评价结果采取百分制，根据分值为四档：90分以上为优，80-90分为良（不包含90分），60-80（不包含80分）分为中，60分以下为差。</w:t>
      </w:r>
    </w:p>
    <w:p w14:paraId="03621159">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5.甲方对乙方按季度考核的结果为“中”或者“差”的，甲方有权向</w:t>
      </w:r>
      <w:r>
        <w:rPr>
          <w:rFonts w:hint="eastAsia" w:ascii="新宋体" w:hAnsi="新宋体" w:eastAsia="新宋体" w:cs="新宋体"/>
          <w:color w:val="2E54A1" w:themeColor="accent1" w:themeShade="BF"/>
          <w:sz w:val="24"/>
          <w:szCs w:val="24"/>
        </w:rPr>
        <w:t>乙</w:t>
      </w:r>
      <w:r>
        <w:rPr>
          <w:rFonts w:hint="eastAsia" w:ascii="新宋体" w:hAnsi="新宋体" w:eastAsia="新宋体" w:cs="新宋体"/>
          <w:sz w:val="24"/>
          <w:szCs w:val="24"/>
        </w:rPr>
        <w:t>方发出整改通知，要求乙方限期整改。甲方对乙方按季度考核的结果为“中”或“差”的，按照双方确认的绩效考核结果，每少一分，则管理服务费扣减1%。甲方根据考核得分计算应扣减的管理服务费后，将扣减后的管理服务费支付给乙方。</w:t>
      </w:r>
    </w:p>
    <w:p w14:paraId="6D05909A">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w:t>
      </w:r>
      <w:r>
        <w:rPr>
          <w:rFonts w:hint="eastAsia" w:ascii="新宋体" w:hAnsi="新宋体" w:eastAsia="新宋体" w:cs="新宋体"/>
          <w:b/>
          <w:bCs/>
          <w:sz w:val="24"/>
          <w:szCs w:val="24"/>
          <w:lang w:val="en-US" w:eastAsia="zh-CN"/>
        </w:rPr>
        <w:t>五</w:t>
      </w:r>
      <w:r>
        <w:rPr>
          <w:rFonts w:hint="eastAsia" w:ascii="新宋体" w:hAnsi="新宋体" w:eastAsia="新宋体" w:cs="新宋体"/>
          <w:b/>
          <w:bCs/>
          <w:sz w:val="24"/>
          <w:szCs w:val="24"/>
        </w:rPr>
        <w:t>条 运营服务费用</w:t>
      </w:r>
    </w:p>
    <w:p w14:paraId="11CEE09C">
      <w:pPr>
        <w:spacing w:line="500" w:lineRule="exact"/>
        <w:ind w:left="799" w:leftChars="266" w:hanging="240" w:hangingChars="100"/>
        <w:rPr>
          <w:rFonts w:hint="eastAsia" w:ascii="新宋体" w:hAnsi="新宋体" w:eastAsia="新宋体" w:cs="新宋体"/>
          <w:sz w:val="24"/>
          <w:szCs w:val="24"/>
          <w:u w:val="single"/>
          <w:lang w:val="en-US" w:eastAsia="zh-CN"/>
        </w:rPr>
      </w:pPr>
      <w:r>
        <w:rPr>
          <w:rFonts w:hint="eastAsia" w:ascii="新宋体" w:hAnsi="新宋体" w:eastAsia="新宋体" w:cs="新宋体"/>
          <w:sz w:val="24"/>
          <w:szCs w:val="24"/>
        </w:rPr>
        <w:t>1.本合同项下的运营服务费共</w:t>
      </w:r>
      <w:r>
        <w:rPr>
          <w:rFonts w:hint="eastAsia" w:ascii="新宋体" w:hAnsi="新宋体" w:eastAsia="新宋体" w:cs="新宋体"/>
          <w:sz w:val="24"/>
          <w:szCs w:val="24"/>
          <w:u w:val="none"/>
        </w:rPr>
        <w:t>计</w:t>
      </w:r>
      <w:r>
        <w:rPr>
          <w:rFonts w:hint="eastAsia" w:ascii="新宋体" w:hAnsi="新宋体" w:eastAsia="新宋体" w:cs="新宋体"/>
          <w:sz w:val="24"/>
          <w:szCs w:val="24"/>
          <w:u w:val="single"/>
          <w:lang w:val="en-US" w:eastAsia="zh-CN"/>
        </w:rPr>
        <w:t xml:space="preserve">         </w:t>
      </w:r>
      <w:r>
        <w:rPr>
          <w:rFonts w:hint="eastAsia" w:ascii="新宋体" w:hAnsi="新宋体" w:eastAsia="新宋体" w:cs="新宋体"/>
          <w:sz w:val="24"/>
          <w:szCs w:val="24"/>
        </w:rPr>
        <w:t>元/年，人民币大写:</w:t>
      </w:r>
      <w:r>
        <w:rPr>
          <w:rFonts w:hint="eastAsia" w:ascii="新宋体" w:hAnsi="新宋体" w:eastAsia="新宋体" w:cs="新宋体"/>
          <w:sz w:val="24"/>
          <w:szCs w:val="24"/>
          <w:u w:val="single"/>
          <w:lang w:val="en-US" w:eastAsia="zh-CN"/>
        </w:rPr>
        <w:t xml:space="preserve">        </w:t>
      </w:r>
    </w:p>
    <w:p w14:paraId="70521CA7">
      <w:pPr>
        <w:spacing w:line="500" w:lineRule="exact"/>
        <w:ind w:left="799" w:leftChars="266" w:hanging="240" w:hangingChars="100"/>
        <w:rPr>
          <w:rFonts w:hint="eastAsia" w:ascii="新宋体" w:hAnsi="新宋体" w:eastAsia="新宋体" w:cs="新宋体"/>
          <w:sz w:val="24"/>
          <w:szCs w:val="24"/>
          <w:lang w:eastAsia="zh-CN"/>
        </w:rPr>
      </w:pPr>
      <w:r>
        <w:rPr>
          <w:rFonts w:hint="eastAsia" w:ascii="新宋体" w:hAnsi="新宋体" w:eastAsia="新宋体" w:cs="新宋体"/>
          <w:sz w:val="24"/>
          <w:szCs w:val="24"/>
        </w:rPr>
        <w:t>具体各项费用</w:t>
      </w:r>
      <w:r>
        <w:rPr>
          <w:rFonts w:hint="eastAsia" w:ascii="新宋体" w:hAnsi="新宋体" w:eastAsia="新宋体" w:cs="新宋体"/>
          <w:sz w:val="24"/>
          <w:szCs w:val="24"/>
          <w:lang w:eastAsia="zh-CN"/>
        </w:rPr>
        <w:t>表（格式）</w:t>
      </w:r>
      <w:r>
        <w:rPr>
          <w:rFonts w:hint="eastAsia" w:ascii="新宋体" w:hAnsi="新宋体" w:eastAsia="新宋体" w:cs="新宋体"/>
          <w:sz w:val="24"/>
          <w:szCs w:val="24"/>
        </w:rPr>
        <w:t>：</w:t>
      </w:r>
    </w:p>
    <w:tbl>
      <w:tblPr>
        <w:tblStyle w:val="6"/>
        <w:tblW w:w="8477" w:type="dxa"/>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2235"/>
        <w:gridCol w:w="3666"/>
        <w:gridCol w:w="1822"/>
      </w:tblGrid>
      <w:tr w14:paraId="2E6E5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54" w:type="dxa"/>
            <w:vAlign w:val="center"/>
          </w:tcPr>
          <w:p w14:paraId="7EE8FE3C">
            <w:pPr>
              <w:spacing w:line="500" w:lineRule="exact"/>
              <w:jc w:val="center"/>
              <w:rPr>
                <w:rFonts w:hint="eastAsia" w:ascii="新宋体" w:hAnsi="新宋体" w:eastAsia="新宋体" w:cs="新宋体"/>
                <w:sz w:val="24"/>
                <w:szCs w:val="24"/>
              </w:rPr>
            </w:pPr>
            <w:r>
              <w:rPr>
                <w:rFonts w:hint="eastAsia" w:ascii="新宋体" w:hAnsi="新宋体" w:eastAsia="新宋体" w:cs="新宋体"/>
                <w:sz w:val="24"/>
                <w:szCs w:val="24"/>
              </w:rPr>
              <w:t>序号</w:t>
            </w:r>
          </w:p>
        </w:tc>
        <w:tc>
          <w:tcPr>
            <w:tcW w:w="2235" w:type="dxa"/>
            <w:vAlign w:val="center"/>
          </w:tcPr>
          <w:p w14:paraId="27CC8406">
            <w:pPr>
              <w:spacing w:line="500" w:lineRule="exact"/>
              <w:jc w:val="center"/>
              <w:rPr>
                <w:rFonts w:hint="eastAsia" w:ascii="新宋体" w:hAnsi="新宋体" w:eastAsia="新宋体" w:cs="新宋体"/>
                <w:sz w:val="24"/>
                <w:szCs w:val="24"/>
              </w:rPr>
            </w:pPr>
            <w:r>
              <w:rPr>
                <w:rFonts w:hint="eastAsia" w:ascii="新宋体" w:hAnsi="新宋体" w:eastAsia="新宋体" w:cs="新宋体"/>
                <w:sz w:val="24"/>
                <w:szCs w:val="24"/>
              </w:rPr>
              <w:t>项目名称</w:t>
            </w:r>
          </w:p>
        </w:tc>
        <w:tc>
          <w:tcPr>
            <w:tcW w:w="3666" w:type="dxa"/>
            <w:vAlign w:val="center"/>
          </w:tcPr>
          <w:p w14:paraId="550036B0">
            <w:pPr>
              <w:spacing w:line="500" w:lineRule="exact"/>
              <w:jc w:val="center"/>
              <w:rPr>
                <w:rFonts w:hint="eastAsia" w:ascii="新宋体" w:hAnsi="新宋体" w:eastAsia="新宋体" w:cs="新宋体"/>
                <w:sz w:val="24"/>
                <w:szCs w:val="24"/>
              </w:rPr>
            </w:pPr>
            <w:r>
              <w:rPr>
                <w:rFonts w:hint="eastAsia" w:ascii="新宋体" w:hAnsi="新宋体" w:eastAsia="新宋体" w:cs="新宋体"/>
                <w:sz w:val="24"/>
                <w:szCs w:val="24"/>
              </w:rPr>
              <w:t>费用标准</w:t>
            </w:r>
          </w:p>
        </w:tc>
        <w:tc>
          <w:tcPr>
            <w:tcW w:w="1822" w:type="dxa"/>
            <w:vAlign w:val="center"/>
          </w:tcPr>
          <w:p w14:paraId="047DCC6C">
            <w:pPr>
              <w:spacing w:line="500" w:lineRule="exact"/>
              <w:jc w:val="center"/>
              <w:rPr>
                <w:rFonts w:hint="eastAsia" w:ascii="新宋体" w:hAnsi="新宋体" w:eastAsia="新宋体" w:cs="新宋体"/>
                <w:sz w:val="24"/>
                <w:szCs w:val="24"/>
              </w:rPr>
            </w:pPr>
            <w:r>
              <w:rPr>
                <w:rFonts w:hint="eastAsia" w:ascii="新宋体" w:hAnsi="新宋体" w:eastAsia="新宋体" w:cs="新宋体"/>
                <w:sz w:val="24"/>
                <w:szCs w:val="24"/>
              </w:rPr>
              <w:t>单项总价</w:t>
            </w:r>
          </w:p>
        </w:tc>
      </w:tr>
      <w:tr w14:paraId="27C7C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54" w:type="dxa"/>
            <w:vAlign w:val="center"/>
          </w:tcPr>
          <w:p w14:paraId="226D90B3">
            <w:pPr>
              <w:spacing w:line="500" w:lineRule="exact"/>
              <w:jc w:val="center"/>
              <w:rPr>
                <w:rFonts w:hint="eastAsia" w:ascii="新宋体" w:hAnsi="新宋体" w:eastAsia="新宋体" w:cs="新宋体"/>
                <w:sz w:val="24"/>
                <w:szCs w:val="24"/>
              </w:rPr>
            </w:pPr>
            <w:r>
              <w:rPr>
                <w:rFonts w:hint="eastAsia" w:ascii="新宋体" w:hAnsi="新宋体" w:eastAsia="新宋体" w:cs="新宋体"/>
                <w:sz w:val="24"/>
                <w:szCs w:val="24"/>
              </w:rPr>
              <w:t>1</w:t>
            </w:r>
          </w:p>
        </w:tc>
        <w:tc>
          <w:tcPr>
            <w:tcW w:w="2235" w:type="dxa"/>
            <w:vAlign w:val="center"/>
          </w:tcPr>
          <w:p w14:paraId="3F3E9353">
            <w:pPr>
              <w:spacing w:line="500" w:lineRule="exact"/>
              <w:jc w:val="center"/>
              <w:rPr>
                <w:rFonts w:hint="eastAsia" w:ascii="新宋体" w:hAnsi="新宋体" w:eastAsia="新宋体" w:cs="新宋体"/>
                <w:sz w:val="24"/>
                <w:szCs w:val="24"/>
              </w:rPr>
            </w:pPr>
          </w:p>
        </w:tc>
        <w:tc>
          <w:tcPr>
            <w:tcW w:w="3666" w:type="dxa"/>
            <w:vAlign w:val="center"/>
          </w:tcPr>
          <w:p w14:paraId="6DA00A5D">
            <w:pPr>
              <w:spacing w:line="500" w:lineRule="exact"/>
              <w:jc w:val="center"/>
              <w:rPr>
                <w:rFonts w:hint="eastAsia" w:ascii="新宋体" w:hAnsi="新宋体" w:eastAsia="新宋体" w:cs="新宋体"/>
                <w:sz w:val="24"/>
                <w:szCs w:val="24"/>
              </w:rPr>
            </w:pPr>
          </w:p>
        </w:tc>
        <w:tc>
          <w:tcPr>
            <w:tcW w:w="1822" w:type="dxa"/>
            <w:vAlign w:val="center"/>
          </w:tcPr>
          <w:p w14:paraId="05241D46">
            <w:pPr>
              <w:spacing w:line="500" w:lineRule="exact"/>
              <w:jc w:val="center"/>
              <w:rPr>
                <w:rFonts w:hint="eastAsia" w:ascii="新宋体" w:hAnsi="新宋体" w:eastAsia="新宋体" w:cs="新宋体"/>
                <w:sz w:val="24"/>
                <w:szCs w:val="24"/>
              </w:rPr>
            </w:pPr>
          </w:p>
        </w:tc>
      </w:tr>
      <w:tr w14:paraId="1A039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54" w:type="dxa"/>
            <w:vAlign w:val="center"/>
          </w:tcPr>
          <w:p w14:paraId="0B3FCF9C">
            <w:pPr>
              <w:spacing w:line="500" w:lineRule="exact"/>
              <w:jc w:val="center"/>
              <w:rPr>
                <w:rFonts w:hint="eastAsia" w:ascii="新宋体" w:hAnsi="新宋体" w:eastAsia="新宋体" w:cs="新宋体"/>
                <w:sz w:val="24"/>
                <w:szCs w:val="24"/>
              </w:rPr>
            </w:pPr>
            <w:r>
              <w:rPr>
                <w:rFonts w:hint="eastAsia" w:ascii="新宋体" w:hAnsi="新宋体" w:eastAsia="新宋体" w:cs="新宋体"/>
                <w:sz w:val="24"/>
                <w:szCs w:val="24"/>
              </w:rPr>
              <w:t>2</w:t>
            </w:r>
          </w:p>
        </w:tc>
        <w:tc>
          <w:tcPr>
            <w:tcW w:w="2235" w:type="dxa"/>
            <w:vAlign w:val="center"/>
          </w:tcPr>
          <w:p w14:paraId="5DA11967">
            <w:pPr>
              <w:spacing w:line="500" w:lineRule="exact"/>
              <w:jc w:val="center"/>
              <w:rPr>
                <w:rFonts w:hint="eastAsia" w:ascii="新宋体" w:hAnsi="新宋体" w:eastAsia="新宋体" w:cs="新宋体"/>
                <w:sz w:val="24"/>
                <w:szCs w:val="24"/>
              </w:rPr>
            </w:pPr>
          </w:p>
        </w:tc>
        <w:tc>
          <w:tcPr>
            <w:tcW w:w="3666" w:type="dxa"/>
            <w:vAlign w:val="center"/>
          </w:tcPr>
          <w:p w14:paraId="58EB49CF">
            <w:pPr>
              <w:spacing w:line="500" w:lineRule="exact"/>
              <w:jc w:val="center"/>
              <w:rPr>
                <w:rFonts w:hint="eastAsia" w:ascii="新宋体" w:hAnsi="新宋体" w:eastAsia="新宋体" w:cs="新宋体"/>
                <w:sz w:val="24"/>
                <w:szCs w:val="24"/>
              </w:rPr>
            </w:pPr>
          </w:p>
        </w:tc>
        <w:tc>
          <w:tcPr>
            <w:tcW w:w="1822" w:type="dxa"/>
            <w:vAlign w:val="center"/>
          </w:tcPr>
          <w:p w14:paraId="1B55617F">
            <w:pPr>
              <w:spacing w:line="500" w:lineRule="exact"/>
              <w:jc w:val="center"/>
              <w:rPr>
                <w:rFonts w:hint="eastAsia" w:ascii="新宋体" w:hAnsi="新宋体" w:eastAsia="新宋体" w:cs="新宋体"/>
                <w:sz w:val="24"/>
                <w:szCs w:val="24"/>
              </w:rPr>
            </w:pPr>
          </w:p>
        </w:tc>
      </w:tr>
      <w:tr w14:paraId="46B48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54" w:type="dxa"/>
            <w:vAlign w:val="center"/>
          </w:tcPr>
          <w:p w14:paraId="06AEFE48">
            <w:pPr>
              <w:spacing w:line="500" w:lineRule="exact"/>
              <w:jc w:val="center"/>
              <w:rPr>
                <w:rFonts w:hint="eastAsia" w:ascii="新宋体" w:hAnsi="新宋体" w:eastAsia="新宋体" w:cs="新宋体"/>
                <w:sz w:val="24"/>
                <w:szCs w:val="24"/>
              </w:rPr>
            </w:pPr>
            <w:r>
              <w:rPr>
                <w:rFonts w:hint="eastAsia" w:ascii="新宋体" w:hAnsi="新宋体" w:eastAsia="新宋体" w:cs="新宋体"/>
                <w:sz w:val="24"/>
                <w:szCs w:val="24"/>
              </w:rPr>
              <w:t>3</w:t>
            </w:r>
          </w:p>
        </w:tc>
        <w:tc>
          <w:tcPr>
            <w:tcW w:w="2235" w:type="dxa"/>
            <w:vAlign w:val="center"/>
          </w:tcPr>
          <w:p w14:paraId="0695D98A">
            <w:pPr>
              <w:spacing w:line="500" w:lineRule="exact"/>
              <w:jc w:val="center"/>
              <w:rPr>
                <w:rFonts w:hint="eastAsia" w:ascii="新宋体" w:hAnsi="新宋体" w:eastAsia="新宋体" w:cs="新宋体"/>
                <w:sz w:val="24"/>
                <w:szCs w:val="24"/>
              </w:rPr>
            </w:pPr>
          </w:p>
        </w:tc>
        <w:tc>
          <w:tcPr>
            <w:tcW w:w="3666" w:type="dxa"/>
            <w:vAlign w:val="center"/>
          </w:tcPr>
          <w:p w14:paraId="4DBBD094">
            <w:pPr>
              <w:spacing w:line="500" w:lineRule="exact"/>
              <w:jc w:val="center"/>
              <w:rPr>
                <w:rFonts w:hint="eastAsia" w:ascii="新宋体" w:hAnsi="新宋体" w:eastAsia="新宋体" w:cs="新宋体"/>
                <w:sz w:val="24"/>
                <w:szCs w:val="24"/>
              </w:rPr>
            </w:pPr>
          </w:p>
        </w:tc>
        <w:tc>
          <w:tcPr>
            <w:tcW w:w="1822" w:type="dxa"/>
            <w:vAlign w:val="center"/>
          </w:tcPr>
          <w:p w14:paraId="61A7E98A">
            <w:pPr>
              <w:spacing w:line="500" w:lineRule="exact"/>
              <w:jc w:val="center"/>
              <w:rPr>
                <w:rFonts w:hint="eastAsia" w:ascii="新宋体" w:hAnsi="新宋体" w:eastAsia="新宋体" w:cs="新宋体"/>
                <w:sz w:val="24"/>
                <w:szCs w:val="24"/>
              </w:rPr>
            </w:pPr>
          </w:p>
        </w:tc>
      </w:tr>
      <w:tr w14:paraId="4CBE3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754" w:type="dxa"/>
            <w:vMerge w:val="restart"/>
            <w:vAlign w:val="center"/>
          </w:tcPr>
          <w:p w14:paraId="085037BB">
            <w:pPr>
              <w:spacing w:line="500" w:lineRule="exact"/>
              <w:jc w:val="center"/>
              <w:rPr>
                <w:rFonts w:hint="eastAsia" w:ascii="新宋体" w:hAnsi="新宋体" w:eastAsia="新宋体" w:cs="新宋体"/>
                <w:sz w:val="24"/>
                <w:szCs w:val="24"/>
              </w:rPr>
            </w:pPr>
            <w:r>
              <w:rPr>
                <w:rFonts w:hint="eastAsia" w:ascii="新宋体" w:hAnsi="新宋体" w:eastAsia="新宋体" w:cs="新宋体"/>
                <w:sz w:val="24"/>
                <w:szCs w:val="24"/>
              </w:rPr>
              <w:t>4</w:t>
            </w:r>
          </w:p>
        </w:tc>
        <w:tc>
          <w:tcPr>
            <w:tcW w:w="2235" w:type="dxa"/>
            <w:vMerge w:val="restart"/>
            <w:vAlign w:val="center"/>
          </w:tcPr>
          <w:p w14:paraId="182AC0E7">
            <w:pPr>
              <w:spacing w:line="500" w:lineRule="exact"/>
              <w:jc w:val="center"/>
              <w:rPr>
                <w:rFonts w:hint="eastAsia" w:ascii="新宋体" w:hAnsi="新宋体" w:eastAsia="新宋体" w:cs="新宋体"/>
                <w:sz w:val="24"/>
                <w:szCs w:val="24"/>
              </w:rPr>
            </w:pPr>
          </w:p>
        </w:tc>
        <w:tc>
          <w:tcPr>
            <w:tcW w:w="3666" w:type="dxa"/>
            <w:vAlign w:val="center"/>
          </w:tcPr>
          <w:p w14:paraId="09D91131">
            <w:pPr>
              <w:spacing w:line="500" w:lineRule="exact"/>
              <w:jc w:val="center"/>
              <w:rPr>
                <w:rFonts w:hint="eastAsia" w:ascii="新宋体" w:hAnsi="新宋体" w:eastAsia="新宋体" w:cs="新宋体"/>
                <w:sz w:val="24"/>
                <w:szCs w:val="24"/>
              </w:rPr>
            </w:pPr>
          </w:p>
        </w:tc>
        <w:tc>
          <w:tcPr>
            <w:tcW w:w="1822" w:type="dxa"/>
            <w:vMerge w:val="restart"/>
            <w:vAlign w:val="center"/>
          </w:tcPr>
          <w:p w14:paraId="7F1D9A14">
            <w:pPr>
              <w:spacing w:line="500" w:lineRule="exact"/>
              <w:jc w:val="center"/>
              <w:rPr>
                <w:rFonts w:hint="eastAsia" w:ascii="新宋体" w:hAnsi="新宋体" w:eastAsia="新宋体" w:cs="新宋体"/>
                <w:sz w:val="24"/>
                <w:szCs w:val="24"/>
              </w:rPr>
            </w:pPr>
          </w:p>
        </w:tc>
      </w:tr>
      <w:tr w14:paraId="4CDBE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54" w:type="dxa"/>
            <w:vAlign w:val="center"/>
          </w:tcPr>
          <w:p w14:paraId="0A37B291">
            <w:pPr>
              <w:spacing w:line="500" w:lineRule="exact"/>
              <w:jc w:val="center"/>
              <w:rPr>
                <w:rFonts w:hint="eastAsia" w:ascii="新宋体" w:hAnsi="新宋体" w:eastAsia="新宋体" w:cs="新宋体"/>
                <w:sz w:val="24"/>
                <w:szCs w:val="24"/>
              </w:rPr>
            </w:pPr>
            <w:r>
              <w:rPr>
                <w:rFonts w:hint="eastAsia" w:ascii="新宋体" w:hAnsi="新宋体" w:eastAsia="新宋体" w:cs="新宋体"/>
                <w:sz w:val="24"/>
                <w:szCs w:val="24"/>
              </w:rPr>
              <w:t>5</w:t>
            </w:r>
          </w:p>
        </w:tc>
        <w:tc>
          <w:tcPr>
            <w:tcW w:w="2235" w:type="dxa"/>
            <w:vAlign w:val="center"/>
          </w:tcPr>
          <w:p w14:paraId="481E7AAB">
            <w:pPr>
              <w:spacing w:line="500" w:lineRule="exact"/>
              <w:jc w:val="center"/>
              <w:rPr>
                <w:rFonts w:hint="eastAsia" w:ascii="新宋体" w:hAnsi="新宋体" w:eastAsia="新宋体" w:cs="新宋体"/>
                <w:sz w:val="24"/>
                <w:szCs w:val="24"/>
              </w:rPr>
            </w:pPr>
          </w:p>
        </w:tc>
        <w:tc>
          <w:tcPr>
            <w:tcW w:w="3666" w:type="dxa"/>
            <w:vAlign w:val="center"/>
          </w:tcPr>
          <w:p w14:paraId="175A032D">
            <w:pPr>
              <w:spacing w:line="500" w:lineRule="exact"/>
              <w:jc w:val="center"/>
              <w:rPr>
                <w:rFonts w:hint="eastAsia" w:ascii="新宋体" w:hAnsi="新宋体" w:eastAsia="新宋体" w:cs="新宋体"/>
                <w:sz w:val="24"/>
                <w:szCs w:val="24"/>
              </w:rPr>
            </w:pPr>
          </w:p>
        </w:tc>
        <w:tc>
          <w:tcPr>
            <w:tcW w:w="1822" w:type="dxa"/>
            <w:vAlign w:val="center"/>
          </w:tcPr>
          <w:p w14:paraId="29F23B65">
            <w:pPr>
              <w:spacing w:line="500" w:lineRule="exact"/>
              <w:jc w:val="center"/>
              <w:rPr>
                <w:rFonts w:hint="eastAsia" w:ascii="新宋体" w:hAnsi="新宋体" w:eastAsia="新宋体" w:cs="新宋体"/>
                <w:sz w:val="24"/>
                <w:szCs w:val="24"/>
              </w:rPr>
            </w:pPr>
          </w:p>
        </w:tc>
      </w:tr>
      <w:tr w14:paraId="4E248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754" w:type="dxa"/>
            <w:vAlign w:val="center"/>
          </w:tcPr>
          <w:p w14:paraId="6E7F82D8">
            <w:pPr>
              <w:spacing w:line="500" w:lineRule="exact"/>
              <w:jc w:val="center"/>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6</w:t>
            </w:r>
          </w:p>
        </w:tc>
        <w:tc>
          <w:tcPr>
            <w:tcW w:w="5901" w:type="dxa"/>
            <w:gridSpan w:val="2"/>
            <w:vAlign w:val="center"/>
          </w:tcPr>
          <w:p w14:paraId="497C43CE">
            <w:pPr>
              <w:spacing w:line="500" w:lineRule="exact"/>
              <w:jc w:val="center"/>
              <w:rPr>
                <w:rFonts w:hint="eastAsia" w:ascii="新宋体" w:hAnsi="新宋体" w:eastAsia="新宋体" w:cs="新宋体"/>
                <w:sz w:val="24"/>
                <w:szCs w:val="24"/>
                <w:lang w:eastAsia="zh-Hans"/>
              </w:rPr>
            </w:pPr>
            <w:r>
              <w:rPr>
                <w:rFonts w:hint="eastAsia" w:ascii="新宋体" w:hAnsi="新宋体" w:eastAsia="新宋体" w:cs="新宋体"/>
                <w:sz w:val="24"/>
                <w:szCs w:val="24"/>
              </w:rPr>
              <w:t>合同总价款/</w:t>
            </w:r>
            <w:r>
              <w:rPr>
                <w:rFonts w:hint="eastAsia" w:ascii="新宋体" w:hAnsi="新宋体" w:eastAsia="新宋体" w:cs="新宋体"/>
                <w:sz w:val="24"/>
                <w:szCs w:val="24"/>
                <w:lang w:eastAsia="zh-Hans"/>
              </w:rPr>
              <w:t>年</w:t>
            </w:r>
          </w:p>
        </w:tc>
        <w:tc>
          <w:tcPr>
            <w:tcW w:w="1822" w:type="dxa"/>
            <w:vAlign w:val="center"/>
          </w:tcPr>
          <w:p w14:paraId="2D873A89">
            <w:pPr>
              <w:spacing w:line="500" w:lineRule="exact"/>
              <w:jc w:val="center"/>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元</w:t>
            </w:r>
          </w:p>
        </w:tc>
      </w:tr>
    </w:tbl>
    <w:p w14:paraId="7CDB9BBA">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2.本合同项下运营服务费用为一次性包干制，该合同价格不受市场价格变化因素的影响。</w:t>
      </w:r>
    </w:p>
    <w:p w14:paraId="14D26DAE">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3.甲方向乙方支付的运营服务费用已包含人员工资、物资装备费、日常运营费、乙方利润及税金、清洁材料及工具费、办公经费等</w:t>
      </w:r>
      <w:r>
        <w:rPr>
          <w:rFonts w:hint="eastAsia" w:ascii="新宋体" w:hAnsi="新宋体" w:eastAsia="新宋体" w:cs="新宋体"/>
          <w:sz w:val="24"/>
          <w:szCs w:val="24"/>
          <w:lang w:eastAsia="zh-Hans"/>
        </w:rPr>
        <w:t>，</w:t>
      </w:r>
      <w:r>
        <w:rPr>
          <w:rFonts w:hint="eastAsia" w:ascii="新宋体" w:hAnsi="新宋体" w:eastAsia="新宋体" w:cs="新宋体"/>
          <w:sz w:val="24"/>
          <w:szCs w:val="24"/>
        </w:rPr>
        <w:t>为</w:t>
      </w:r>
      <w:r>
        <w:rPr>
          <w:rFonts w:hint="eastAsia" w:ascii="新宋体" w:hAnsi="新宋体" w:eastAsia="新宋体" w:cs="新宋体"/>
          <w:sz w:val="24"/>
          <w:szCs w:val="24"/>
          <w:lang w:eastAsia="zh-Hans"/>
        </w:rPr>
        <w:t>全年十二个自然月</w:t>
      </w:r>
      <w:r>
        <w:rPr>
          <w:rFonts w:hint="eastAsia" w:ascii="新宋体" w:hAnsi="新宋体" w:eastAsia="新宋体" w:cs="新宋体"/>
          <w:sz w:val="24"/>
          <w:szCs w:val="24"/>
        </w:rPr>
        <w:t>全部服务费用。除合同价款外，甲方无其他付款义务。</w:t>
      </w:r>
    </w:p>
    <w:p w14:paraId="03C44783">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w:t>
      </w:r>
      <w:r>
        <w:rPr>
          <w:rFonts w:hint="eastAsia" w:ascii="新宋体" w:hAnsi="新宋体" w:eastAsia="新宋体" w:cs="新宋体"/>
          <w:b/>
          <w:bCs/>
          <w:sz w:val="24"/>
          <w:szCs w:val="24"/>
          <w:lang w:val="en-US" w:eastAsia="zh-CN"/>
        </w:rPr>
        <w:t>六</w:t>
      </w:r>
      <w:r>
        <w:rPr>
          <w:rFonts w:hint="eastAsia" w:ascii="新宋体" w:hAnsi="新宋体" w:eastAsia="新宋体" w:cs="新宋体"/>
          <w:b/>
          <w:bCs/>
          <w:sz w:val="24"/>
          <w:szCs w:val="24"/>
        </w:rPr>
        <w:t>条 服务费用</w:t>
      </w:r>
      <w:r>
        <w:rPr>
          <w:rFonts w:hint="eastAsia" w:ascii="新宋体" w:hAnsi="新宋体" w:eastAsia="新宋体" w:cs="新宋体"/>
          <w:b/>
          <w:bCs/>
          <w:sz w:val="24"/>
          <w:szCs w:val="24"/>
          <w:lang w:val="en-US" w:eastAsia="zh-CN"/>
        </w:rPr>
        <w:t>结</w:t>
      </w:r>
      <w:r>
        <w:rPr>
          <w:rFonts w:hint="eastAsia" w:ascii="新宋体" w:hAnsi="新宋体" w:eastAsia="新宋体" w:cs="新宋体"/>
          <w:b/>
          <w:bCs/>
          <w:sz w:val="24"/>
          <w:szCs w:val="24"/>
        </w:rPr>
        <w:t>算</w:t>
      </w:r>
    </w:p>
    <w:p w14:paraId="4383B2BE">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1.甲方向乙方按季度结算运营服务费。每季度实际支付费用=月服务费用</w:t>
      </w:r>
      <w:r>
        <w:rPr>
          <w:rFonts w:hint="eastAsia" w:ascii="新宋体" w:hAnsi="新宋体" w:eastAsia="新宋体" w:cs="新宋体"/>
          <w:sz w:val="24"/>
          <w:szCs w:val="24"/>
          <w:lang w:eastAsia="zh-Hans"/>
        </w:rPr>
        <w:t>（年服务费</w:t>
      </w:r>
      <w:r>
        <w:rPr>
          <w:rFonts w:hint="eastAsia" w:ascii="新宋体" w:hAnsi="新宋体" w:eastAsia="新宋体" w:cs="新宋体"/>
          <w:sz w:val="24"/>
          <w:szCs w:val="24"/>
        </w:rPr>
        <w:t>÷</w:t>
      </w:r>
      <w:r>
        <w:rPr>
          <w:rFonts w:hint="eastAsia" w:ascii="新宋体" w:hAnsi="新宋体" w:eastAsia="新宋体" w:cs="新宋体"/>
          <w:sz w:val="24"/>
          <w:szCs w:val="24"/>
          <w:lang w:eastAsia="zh-Hans"/>
        </w:rPr>
        <w:t>12月）</w:t>
      </w:r>
      <w:r>
        <w:rPr>
          <w:rFonts w:hint="eastAsia" w:ascii="新宋体" w:hAnsi="新宋体" w:eastAsia="新宋体" w:cs="新宋体"/>
          <w:sz w:val="24"/>
          <w:szCs w:val="24"/>
        </w:rPr>
        <w:t>×3个月-季度考核扣款。</w:t>
      </w:r>
    </w:p>
    <w:p w14:paraId="4FD796B5">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 甲（或甲方委托的第三方）、乙双方自每季度末起    日内共同对乙方上季度服务进行考核并经双方书面确认无误，书面考核结果作为甲方向乙方支付季度服务费的依据，乙方自出具书面考核之日起5个工作日内向甲方提出付款申请，甲方应自收到乙方付款申请起5个工作日内向乙方支付该季度运营服务费。</w:t>
      </w:r>
    </w:p>
    <w:p w14:paraId="67891741">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甲方或甲方委托的第三方拖延进行考核超过    日视为乙方的绩效考核为优，甲方应在乙方提出付款申请之日起5个工作日向乙方支付季度运营服务费。</w:t>
      </w:r>
    </w:p>
    <w:p w14:paraId="7919A7BF">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3.甲方向乙方支付运营服务费前，乙方应当向甲方开具等额发票。</w:t>
      </w:r>
    </w:p>
    <w:p w14:paraId="38639B6E">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4.乙方收取甲方运营服务费用的账户为：</w:t>
      </w:r>
    </w:p>
    <w:p w14:paraId="76B75473">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户名：</w:t>
      </w:r>
    </w:p>
    <w:p w14:paraId="2E65B709">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账号：</w:t>
      </w:r>
    </w:p>
    <w:p w14:paraId="025F75F7">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开户行：</w:t>
      </w:r>
    </w:p>
    <w:p w14:paraId="215E01E1">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w:t>
      </w:r>
      <w:r>
        <w:rPr>
          <w:rFonts w:hint="eastAsia" w:ascii="新宋体" w:hAnsi="新宋体" w:eastAsia="新宋体" w:cs="新宋体"/>
          <w:b/>
          <w:bCs/>
          <w:sz w:val="24"/>
          <w:szCs w:val="24"/>
          <w:lang w:val="en-US" w:eastAsia="zh-CN"/>
        </w:rPr>
        <w:t>七</w:t>
      </w:r>
      <w:r>
        <w:rPr>
          <w:rFonts w:hint="eastAsia" w:ascii="新宋体" w:hAnsi="新宋体" w:eastAsia="新宋体" w:cs="新宋体"/>
          <w:b/>
          <w:bCs/>
          <w:sz w:val="24"/>
          <w:szCs w:val="24"/>
        </w:rPr>
        <w:t>条 甲方权利义务</w:t>
      </w:r>
    </w:p>
    <w:p w14:paraId="5300379C">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1.甲方有权根据法律和本合同约定对乙方的服务进行绩效考核；</w:t>
      </w:r>
    </w:p>
    <w:p w14:paraId="4CC19914">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2.甲方有权根据对乙方的绩效考核结果提出相关整改建议；</w:t>
      </w:r>
    </w:p>
    <w:p w14:paraId="7953AB8D">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3.甲方有权审定乙方制作的运营服务方案、年度服务计划，听取乙方运营服务报告；</w:t>
      </w:r>
    </w:p>
    <w:p w14:paraId="682A09B3">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4.甲方有权因突发事件要求乙方临时增加或调整运营人员配置；</w:t>
      </w:r>
    </w:p>
    <w:p w14:paraId="47348597">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5.甲方有权要求乙方提供在运营服务过程中的形成的资料信息；</w:t>
      </w:r>
    </w:p>
    <w:p w14:paraId="32DC3C90">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6.甲方有权决定对乙方进行绩效考核的方式和考核指标；</w:t>
      </w:r>
    </w:p>
    <w:p w14:paraId="2C34478A">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7.甲方有义务按照合同约定向乙方履行付款义务；</w:t>
      </w:r>
    </w:p>
    <w:p w14:paraId="2C75A5D8">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8.乙方进场服务人员上岗前需向甲方留档备案，甲方有权对人员提出调整要求，乙方需积极配合。</w:t>
      </w:r>
    </w:p>
    <w:p w14:paraId="0F6F0267">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w:t>
      </w:r>
      <w:r>
        <w:rPr>
          <w:rFonts w:hint="eastAsia" w:ascii="新宋体" w:hAnsi="新宋体" w:eastAsia="新宋体" w:cs="新宋体"/>
          <w:b/>
          <w:bCs/>
          <w:sz w:val="24"/>
          <w:szCs w:val="24"/>
          <w:lang w:val="en-US" w:eastAsia="zh-CN"/>
        </w:rPr>
        <w:t>八</w:t>
      </w:r>
      <w:r>
        <w:rPr>
          <w:rFonts w:hint="eastAsia" w:ascii="新宋体" w:hAnsi="新宋体" w:eastAsia="新宋体" w:cs="新宋体"/>
          <w:b/>
          <w:bCs/>
          <w:sz w:val="24"/>
          <w:szCs w:val="24"/>
        </w:rPr>
        <w:t>条 乙方权利义务</w:t>
      </w:r>
    </w:p>
    <w:p w14:paraId="2401FE63">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1.乙方有权根据合同约定制定运营服务方案，经甲方审核后执行；</w:t>
      </w:r>
    </w:p>
    <w:p w14:paraId="137E7691">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2.乙方有权要求甲方按照合同约定及时支付运营服务费用；</w:t>
      </w:r>
    </w:p>
    <w:p w14:paraId="5B707716">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3.乙方有权利自行组织招聘相关工作人员派驻至办事大厅工作；</w:t>
      </w:r>
    </w:p>
    <w:p w14:paraId="692B6F0D">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4.因乙方配备的人员不能胜任办事大厅工作的，经甲书面方通知，乙方应当更换能够胜任的工作人员；</w:t>
      </w:r>
    </w:p>
    <w:p w14:paraId="6DD593FB">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4.乙方有义务向甲方书面告知运营服务的实施情况；</w:t>
      </w:r>
    </w:p>
    <w:p w14:paraId="4482718C">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5.乙方有义务按照合同约定配合甲方或甲方委托的第三方进行绩效考核；</w:t>
      </w:r>
    </w:p>
    <w:p w14:paraId="541F0E98">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6.乙方有义务按照合同约定在年度终末时向甲方提供书面服务报告，汇报当年度运营服务成果；</w:t>
      </w:r>
    </w:p>
    <w:p w14:paraId="65CFFF40">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7.本合同终止时，乙方必须向甲方移交全部管理用房及运营服务中形成的档案资料。</w:t>
      </w:r>
    </w:p>
    <w:p w14:paraId="2618F839">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w:t>
      </w:r>
      <w:r>
        <w:rPr>
          <w:rFonts w:hint="eastAsia" w:ascii="新宋体" w:hAnsi="新宋体" w:eastAsia="新宋体" w:cs="新宋体"/>
          <w:b/>
          <w:bCs/>
          <w:sz w:val="24"/>
          <w:szCs w:val="24"/>
          <w:lang w:val="en-US" w:eastAsia="zh-CN"/>
        </w:rPr>
        <w:t>九</w:t>
      </w:r>
      <w:r>
        <w:rPr>
          <w:rFonts w:hint="eastAsia" w:ascii="新宋体" w:hAnsi="新宋体" w:eastAsia="新宋体" w:cs="新宋体"/>
          <w:b/>
          <w:bCs/>
          <w:sz w:val="24"/>
          <w:szCs w:val="24"/>
        </w:rPr>
        <w:t>条 违约责任</w:t>
      </w:r>
    </w:p>
    <w:p w14:paraId="24F05E02">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1.甲方违反合同约定逾期支付运营服务费的，视为甲方违约。自违约之日起，甲方以</w:t>
      </w:r>
      <w:r>
        <w:rPr>
          <w:rFonts w:hint="eastAsia" w:ascii="新宋体" w:hAnsi="新宋体" w:eastAsia="新宋体" w:cs="新宋体"/>
          <w:sz w:val="24"/>
          <w:szCs w:val="24"/>
          <w:lang w:eastAsia="zh-Hans"/>
        </w:rPr>
        <w:t>应付未付</w:t>
      </w:r>
      <w:r>
        <w:rPr>
          <w:rFonts w:hint="eastAsia" w:ascii="新宋体" w:hAnsi="新宋体" w:eastAsia="新宋体" w:cs="新宋体"/>
          <w:sz w:val="24"/>
          <w:szCs w:val="24"/>
        </w:rPr>
        <w:t>的运营费为本金，按照每日万分之一的标准向乙方支付违约金。</w:t>
      </w:r>
    </w:p>
    <w:p w14:paraId="794B8EA9">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2.乙方违反合同提供服务经甲方要求整改后仍未达到服务标准的，视为乙方违约。自违约之日起，乙方以甲方已经</w:t>
      </w:r>
      <w:r>
        <w:rPr>
          <w:rFonts w:hint="eastAsia" w:ascii="新宋体" w:hAnsi="新宋体" w:eastAsia="新宋体" w:cs="新宋体"/>
          <w:sz w:val="24"/>
          <w:szCs w:val="24"/>
          <w:lang w:eastAsia="zh-Hans"/>
        </w:rPr>
        <w:t>支付</w:t>
      </w:r>
      <w:r>
        <w:rPr>
          <w:rFonts w:hint="eastAsia" w:ascii="新宋体" w:hAnsi="新宋体" w:eastAsia="新宋体" w:cs="新宋体"/>
          <w:sz w:val="24"/>
          <w:szCs w:val="24"/>
        </w:rPr>
        <w:t>的运营费费为本金，按照每日万分之一的标准向甲方支付违约金。</w:t>
      </w:r>
    </w:p>
    <w:p w14:paraId="27577214">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3.经甲方考核，乙方累计两个月绩效考核结果为“中”或“差”的，视为乙方根本违约。甲方有权单方面解除合同，并要求乙方按照本条第2款的规定承担违约金。</w:t>
      </w:r>
    </w:p>
    <w:p w14:paraId="04D5EE08">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4.乙方违反本合同约定，擅自提高收费标准的，甲方有权要求乙方清退，造成甲方经济损失的，乙方应给予甲方经济赔偿。</w:t>
      </w:r>
    </w:p>
    <w:p w14:paraId="146FA18A">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第十条 运营服务交接</w:t>
      </w:r>
    </w:p>
    <w:p w14:paraId="1E5AD449">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1.甲乙双方自本合同生效之日起3日内，根据甲方委托服务事项，办理接管验收手续。</w:t>
      </w:r>
    </w:p>
    <w:p w14:paraId="687427F7">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2.甲乙双方自本合同解除或终止之日起3日内，根据甲方的要求办理退场手续。经甲方书面通知    日内乙方延迟履行退场义务造成甲方损失的，甲方有权要求乙方按照本合同第十条第2款的标准承担违约金。</w:t>
      </w:r>
    </w:p>
    <w:p w14:paraId="056546AF">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第十</w:t>
      </w:r>
      <w:r>
        <w:rPr>
          <w:rFonts w:hint="eastAsia" w:ascii="新宋体" w:hAnsi="新宋体" w:eastAsia="新宋体" w:cs="新宋体"/>
          <w:b/>
          <w:bCs/>
          <w:sz w:val="24"/>
          <w:szCs w:val="24"/>
          <w:lang w:val="en-US" w:eastAsia="zh-CN"/>
        </w:rPr>
        <w:t>一</w:t>
      </w:r>
      <w:r>
        <w:rPr>
          <w:rFonts w:hint="eastAsia" w:ascii="新宋体" w:hAnsi="新宋体" w:eastAsia="新宋体" w:cs="新宋体"/>
          <w:b/>
          <w:bCs/>
          <w:sz w:val="24"/>
          <w:szCs w:val="24"/>
        </w:rPr>
        <w:t>条 争议解决</w:t>
      </w:r>
    </w:p>
    <w:p w14:paraId="601A063B">
      <w:pPr>
        <w:spacing w:line="500" w:lineRule="exact"/>
        <w:ind w:firstLine="480" w:firstLineChars="200"/>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1、本项目在履约过程中发生的争议，由甲、乙双方当事人协商解决，协商不成的提交西安仲裁委员会仲裁。</w:t>
      </w:r>
    </w:p>
    <w:p w14:paraId="59D28D11">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2.在</w:t>
      </w:r>
      <w:r>
        <w:rPr>
          <w:rFonts w:hint="eastAsia" w:ascii="新宋体" w:hAnsi="新宋体" w:eastAsia="新宋体" w:cs="新宋体"/>
          <w:sz w:val="24"/>
          <w:szCs w:val="24"/>
          <w:lang w:val="en-US" w:eastAsia="zh-CN"/>
        </w:rPr>
        <w:t>仲裁</w:t>
      </w:r>
      <w:r>
        <w:rPr>
          <w:rFonts w:hint="eastAsia" w:ascii="新宋体" w:hAnsi="新宋体" w:eastAsia="新宋体" w:cs="新宋体"/>
          <w:sz w:val="24"/>
          <w:szCs w:val="24"/>
        </w:rPr>
        <w:t>期间，本合同未发生争议的条款双方应当继续执行。</w:t>
      </w:r>
    </w:p>
    <w:p w14:paraId="7C12FD79">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第十</w:t>
      </w:r>
      <w:r>
        <w:rPr>
          <w:rFonts w:hint="eastAsia" w:ascii="新宋体" w:hAnsi="新宋体" w:eastAsia="新宋体" w:cs="新宋体"/>
          <w:b/>
          <w:bCs/>
          <w:sz w:val="24"/>
          <w:szCs w:val="24"/>
          <w:lang w:val="en-US" w:eastAsia="zh-CN"/>
        </w:rPr>
        <w:t>二</w:t>
      </w:r>
      <w:r>
        <w:rPr>
          <w:rFonts w:hint="eastAsia" w:ascii="新宋体" w:hAnsi="新宋体" w:eastAsia="新宋体" w:cs="新宋体"/>
          <w:b/>
          <w:bCs/>
          <w:sz w:val="24"/>
          <w:szCs w:val="24"/>
        </w:rPr>
        <w:t>条 附件</w:t>
      </w:r>
    </w:p>
    <w:p w14:paraId="11EB0C59">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1.本合同的附件有：</w:t>
      </w:r>
      <w:r>
        <w:rPr>
          <w:rFonts w:hint="eastAsia" w:ascii="新宋体" w:hAnsi="新宋体" w:eastAsia="新宋体" w:cs="新宋体"/>
          <w:sz w:val="24"/>
          <w:szCs w:val="24"/>
          <w:u w:val="single"/>
        </w:rPr>
        <w:t>《西安市房产交易管理中心考核方案》</w:t>
      </w:r>
      <w:r>
        <w:rPr>
          <w:rFonts w:hint="eastAsia" w:ascii="新宋体" w:hAnsi="新宋体" w:eastAsia="新宋体" w:cs="新宋体"/>
          <w:sz w:val="24"/>
          <w:szCs w:val="24"/>
        </w:rPr>
        <w:t>；</w:t>
      </w:r>
    </w:p>
    <w:p w14:paraId="68A70663">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2.其他。</w:t>
      </w:r>
    </w:p>
    <w:p w14:paraId="42557538">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第十</w:t>
      </w:r>
      <w:r>
        <w:rPr>
          <w:rFonts w:hint="eastAsia" w:ascii="新宋体" w:hAnsi="新宋体" w:eastAsia="新宋体" w:cs="新宋体"/>
          <w:b/>
          <w:bCs/>
          <w:sz w:val="24"/>
          <w:szCs w:val="24"/>
          <w:lang w:val="en-US" w:eastAsia="zh-CN"/>
        </w:rPr>
        <w:t>三</w:t>
      </w:r>
      <w:r>
        <w:rPr>
          <w:rFonts w:hint="eastAsia" w:ascii="新宋体" w:hAnsi="新宋体" w:eastAsia="新宋体" w:cs="新宋体"/>
          <w:b/>
          <w:bCs/>
          <w:sz w:val="24"/>
          <w:szCs w:val="24"/>
        </w:rPr>
        <w:t>条 其他约定</w:t>
      </w:r>
    </w:p>
    <w:p w14:paraId="329873DF">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1.甲乙双方对本合同的条款进行补充的，应当以书面形式签订补充协议，补充协议与合同具有相同等效力。</w:t>
      </w:r>
    </w:p>
    <w:p w14:paraId="47C1977C">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2.本合同中未规定的事宜，均遵照中华人民共和国有关法律、法规和规章执行。</w:t>
      </w:r>
    </w:p>
    <w:p w14:paraId="38DF93CD">
      <w:pPr>
        <w:spacing w:line="50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第十</w:t>
      </w:r>
      <w:r>
        <w:rPr>
          <w:rFonts w:hint="eastAsia" w:ascii="新宋体" w:hAnsi="新宋体" w:eastAsia="新宋体" w:cs="新宋体"/>
          <w:b/>
          <w:bCs/>
          <w:sz w:val="24"/>
          <w:szCs w:val="24"/>
          <w:lang w:val="en-US" w:eastAsia="zh-CN"/>
        </w:rPr>
        <w:t>四</w:t>
      </w:r>
      <w:r>
        <w:rPr>
          <w:rFonts w:hint="eastAsia" w:ascii="新宋体" w:hAnsi="新宋体" w:eastAsia="新宋体" w:cs="新宋体"/>
          <w:b/>
          <w:bCs/>
          <w:sz w:val="24"/>
          <w:szCs w:val="24"/>
        </w:rPr>
        <w:t>条 附则</w:t>
      </w:r>
    </w:p>
    <w:p w14:paraId="5230C9AE">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1.本合同执行期间，如遇不可抗力，致使合同无法履行时，双方应按有关法律规定及时协商处理。</w:t>
      </w:r>
    </w:p>
    <w:p w14:paraId="69E4B320">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2.本合同壹式肆份，自甲乙双方</w:t>
      </w:r>
      <w:r>
        <w:rPr>
          <w:rFonts w:hint="eastAsia" w:ascii="新宋体" w:hAnsi="新宋体" w:eastAsia="新宋体" w:cs="新宋体"/>
          <w:sz w:val="24"/>
          <w:szCs w:val="24"/>
          <w:lang w:eastAsia="zh-Hans"/>
        </w:rPr>
        <w:t>有权代表人</w:t>
      </w:r>
      <w:r>
        <w:rPr>
          <w:rFonts w:hint="eastAsia" w:ascii="新宋体" w:hAnsi="新宋体" w:eastAsia="新宋体" w:cs="新宋体"/>
          <w:sz w:val="24"/>
          <w:szCs w:val="24"/>
        </w:rPr>
        <w:t>签字</w:t>
      </w:r>
      <w:r>
        <w:rPr>
          <w:rFonts w:hint="eastAsia" w:ascii="新宋体" w:hAnsi="新宋体" w:eastAsia="新宋体" w:cs="新宋体"/>
          <w:sz w:val="24"/>
          <w:szCs w:val="24"/>
          <w:lang w:eastAsia="zh-Hans"/>
        </w:rPr>
        <w:t>并加盖双方公章</w:t>
      </w:r>
      <w:r>
        <w:rPr>
          <w:rFonts w:hint="eastAsia" w:ascii="新宋体" w:hAnsi="新宋体" w:eastAsia="新宋体" w:cs="新宋体"/>
          <w:sz w:val="24"/>
          <w:szCs w:val="24"/>
        </w:rPr>
        <w:t>之日起生效。甲乙双方各执贰份，具有同等法律效力。</w:t>
      </w:r>
    </w:p>
    <w:p w14:paraId="1A6A28D8">
      <w:pPr>
        <w:spacing w:line="500" w:lineRule="exact"/>
        <w:ind w:firstLine="480" w:firstLineChars="200"/>
        <w:rPr>
          <w:rFonts w:hint="eastAsia" w:ascii="新宋体" w:hAnsi="新宋体" w:eastAsia="新宋体" w:cs="新宋体"/>
          <w:sz w:val="24"/>
          <w:szCs w:val="24"/>
        </w:rPr>
      </w:pPr>
      <w:r>
        <w:rPr>
          <w:rFonts w:hint="eastAsia" w:ascii="新宋体" w:hAnsi="新宋体" w:eastAsia="新宋体" w:cs="新宋体"/>
          <w:sz w:val="24"/>
          <w:szCs w:val="24"/>
        </w:rPr>
        <w:t>（以下无正文，为签署页）</w:t>
      </w:r>
    </w:p>
    <w:p w14:paraId="608CACD0">
      <w:pPr>
        <w:spacing w:line="560" w:lineRule="exact"/>
        <w:ind w:firstLine="482" w:firstLineChars="200"/>
        <w:rPr>
          <w:rFonts w:hint="eastAsia" w:ascii="新宋体" w:hAnsi="新宋体" w:eastAsia="新宋体" w:cs="新宋体"/>
          <w:b/>
          <w:bCs/>
          <w:sz w:val="24"/>
          <w:szCs w:val="24"/>
        </w:rPr>
      </w:pPr>
    </w:p>
    <w:p w14:paraId="4C4E31D2">
      <w:pPr>
        <w:spacing w:line="560" w:lineRule="exact"/>
        <w:ind w:firstLine="482" w:firstLineChars="200"/>
        <w:rPr>
          <w:rFonts w:hint="eastAsia" w:ascii="新宋体" w:hAnsi="新宋体" w:eastAsia="新宋体" w:cs="新宋体"/>
          <w:b/>
          <w:bCs/>
          <w:sz w:val="24"/>
          <w:szCs w:val="24"/>
        </w:rPr>
      </w:pPr>
    </w:p>
    <w:p w14:paraId="170A33CD">
      <w:pPr>
        <w:spacing w:line="560" w:lineRule="exact"/>
        <w:ind w:firstLine="482" w:firstLineChars="200"/>
        <w:rPr>
          <w:rFonts w:hint="eastAsia" w:ascii="新宋体" w:hAnsi="新宋体" w:eastAsia="新宋体" w:cs="新宋体"/>
          <w:b/>
          <w:bCs/>
          <w:sz w:val="24"/>
          <w:szCs w:val="24"/>
        </w:rPr>
      </w:pPr>
    </w:p>
    <w:p w14:paraId="65F162CB">
      <w:pPr>
        <w:spacing w:line="560" w:lineRule="exact"/>
        <w:ind w:firstLine="482" w:firstLineChars="200"/>
        <w:rPr>
          <w:rFonts w:hint="eastAsia" w:ascii="新宋体" w:hAnsi="新宋体" w:eastAsia="新宋体" w:cs="新宋体"/>
          <w:b/>
          <w:bCs/>
          <w:sz w:val="24"/>
          <w:szCs w:val="24"/>
        </w:rPr>
      </w:pPr>
      <w:bookmarkStart w:id="0" w:name="_GoBack"/>
      <w:bookmarkEnd w:id="0"/>
      <w:r>
        <w:rPr>
          <w:rFonts w:hint="eastAsia" w:ascii="新宋体" w:hAnsi="新宋体" w:eastAsia="新宋体" w:cs="新宋体"/>
          <w:b/>
          <w:bCs/>
          <w:sz w:val="24"/>
          <w:szCs w:val="24"/>
        </w:rPr>
        <w:t>甲方：西安市房产交易管理中心</w:t>
      </w:r>
    </w:p>
    <w:p w14:paraId="60FB146D">
      <w:pPr>
        <w:spacing w:line="56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授权代表人：</w:t>
      </w:r>
    </w:p>
    <w:p w14:paraId="03FBE98E">
      <w:pPr>
        <w:spacing w:after="156" w:afterLines="50" w:line="56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日期：    年    月   日</w:t>
      </w:r>
    </w:p>
    <w:p w14:paraId="29CD4163">
      <w:pPr>
        <w:spacing w:line="56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受托方（以下简称乙方）：</w:t>
      </w:r>
    </w:p>
    <w:p w14:paraId="568DC74A">
      <w:pPr>
        <w:spacing w:line="560" w:lineRule="exact"/>
        <w:ind w:firstLine="482" w:firstLineChars="200"/>
        <w:rPr>
          <w:rFonts w:hint="eastAsia" w:ascii="新宋体" w:hAnsi="新宋体" w:eastAsia="新宋体" w:cs="新宋体"/>
          <w:b/>
          <w:bCs/>
          <w:sz w:val="24"/>
          <w:szCs w:val="24"/>
        </w:rPr>
      </w:pPr>
      <w:r>
        <w:rPr>
          <w:rFonts w:hint="eastAsia" w:ascii="新宋体" w:hAnsi="新宋体" w:eastAsia="新宋体" w:cs="新宋体"/>
          <w:b/>
          <w:bCs/>
          <w:sz w:val="24"/>
          <w:szCs w:val="24"/>
        </w:rPr>
        <w:t>法定代表人：</w:t>
      </w:r>
    </w:p>
    <w:p w14:paraId="64E92DA3">
      <w:pPr>
        <w:spacing w:line="560" w:lineRule="exact"/>
        <w:ind w:firstLine="482" w:firstLineChars="200"/>
        <w:rPr>
          <w:rFonts w:hint="eastAsia" w:ascii="新宋体" w:hAnsi="新宋体" w:eastAsia="新宋体" w:cs="新宋体"/>
          <w:b w:val="0"/>
          <w:bCs/>
          <w:color w:val="000000" w:themeColor="text1"/>
          <w:sz w:val="24"/>
          <w:szCs w:val="24"/>
          <w:highlight w:val="none"/>
          <w:lang w:val="en-US" w:eastAsia="zh-CN"/>
          <w14:textFill>
            <w14:solidFill>
              <w14:schemeClr w14:val="tx1"/>
            </w14:solidFill>
          </w14:textFill>
        </w:rPr>
      </w:pPr>
      <w:r>
        <w:rPr>
          <w:rFonts w:hint="eastAsia" w:ascii="新宋体" w:hAnsi="新宋体" w:eastAsia="新宋体" w:cs="新宋体"/>
          <w:b/>
          <w:bCs/>
          <w:sz w:val="24"/>
          <w:szCs w:val="24"/>
        </w:rPr>
        <w:t>日期：    年    月    日</w:t>
      </w:r>
      <w:r>
        <w:rPr>
          <w:rFonts w:hint="eastAsia" w:ascii="新宋体" w:hAnsi="新宋体" w:eastAsia="新宋体" w:cs="新宋体"/>
          <w:b w:val="0"/>
          <w:bCs/>
          <w:color w:val="000000" w:themeColor="text1"/>
          <w:sz w:val="24"/>
          <w:szCs w:val="24"/>
          <w:highlight w:val="none"/>
          <w:lang w:val="en-US" w:eastAsia="zh-CN"/>
          <w14:textFill>
            <w14:solidFill>
              <w14:schemeClr w14:val="tx1"/>
            </w14:solidFill>
          </w14:textFill>
        </w:rPr>
        <w:t xml:space="preserve">               </w:t>
      </w:r>
    </w:p>
    <w:p w14:paraId="21DE29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auto"/>
    <w:pitch w:val="default"/>
    <w:sig w:usb0="00000283" w:usb1="288F0000" w:usb2="0000000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7D307E"/>
    <w:rsid w:val="0B7D3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p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2025-02-06T07:34:00Z</dcterms:created>
  <dc:creator>*Iris.♉</dc:creator>
  <cp:lastModifiedBy>*Iris.♉</cp:lastModifiedBy>
  <dcterms:modified xsi:type="dcterms:W3CDTF">2025-02-06T07:40:08Z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8EF6BCAC9FFB454F863EDA0DA6112E0A_11</vt:lpwstr>
  </property>
  <property fmtid="{D5CDD505-2E9C-101B-9397-08002B2CF9AE}" pid="4" name="KSOTemplateDocerSaveRecord">
    <vt:lpwstr>eyJoZGlkIjoiYzgwMjZhZWUwNGNhMDNkZjdmMjdjN2QxZjBlNjc1OTUiLCJ1c2VySWQiOiIyNDU1MDM4NjUifQ==</vt:lpwstr>
  </property>
</Properties>
</file>