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版本号：HTGH-2025-00120250206001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米家崖及西大街交易大厅协助运维项目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HTGH-2025-001</w:t>
      </w:r>
      <w:r>
        <w:br/>
      </w:r>
      <w:r>
        <w:br/>
      </w:r>
      <w:r>
        <w:br/>
      </w:r>
    </w:p>
    <w:p>
      <w:pPr>
        <w:pStyle w:val="null3"/>
        <w:jc w:val="center"/>
        <w:outlineLvl w:val="2"/>
      </w:pPr>
      <w:r>
        <w:rPr>
          <w:rFonts w:ascii="仿宋_GB2312" w:hAnsi="仿宋_GB2312" w:cs="仿宋_GB2312" w:eastAsia="仿宋_GB2312"/>
          <w:sz w:val="28"/>
          <w:b/>
        </w:rPr>
        <w:t>西安市房产交易管理中心</w:t>
      </w:r>
    </w:p>
    <w:p>
      <w:pPr>
        <w:pStyle w:val="null3"/>
        <w:jc w:val="center"/>
        <w:outlineLvl w:val="2"/>
      </w:pPr>
      <w:r>
        <w:rPr>
          <w:rFonts w:ascii="仿宋_GB2312" w:hAnsi="仿宋_GB2312" w:cs="仿宋_GB2312" w:eastAsia="仿宋_GB2312"/>
          <w:sz w:val="28"/>
          <w:b/>
        </w:rPr>
        <w:t>陕西慧通广和项目管理有限公司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陕西慧通广和项目管理有限公司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西安市房产交易管理中心</w:t>
      </w:r>
      <w:r>
        <w:rPr>
          <w:rFonts w:ascii="仿宋_GB2312" w:hAnsi="仿宋_GB2312" w:cs="仿宋_GB2312" w:eastAsia="仿宋_GB2312"/>
        </w:rPr>
        <w:t>委托，拟对</w:t>
      </w:r>
      <w:r>
        <w:rPr>
          <w:rFonts w:ascii="仿宋_GB2312" w:hAnsi="仿宋_GB2312" w:cs="仿宋_GB2312" w:eastAsia="仿宋_GB2312"/>
        </w:rPr>
        <w:t>米家崖及西大街交易大厅协助运维项目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HTGH-2025-001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米家崖及西大街交易大厅协助运维项目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为方便企业群众就近办理房产交易登记业务，提高房产交易服务工作效能，更好更优更高效地服务企业和群众。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采购包1（米家崖及西大街交易大厅协助运维项目）：属于专门面向中小企业采购。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3、税收缴纳证明：提供2024年1月1日至今任意一个月已缴纳的纳税证明或完税证明（包含增值税、企业所得税、营业税至少一种）；（依法免税的供应商应提供相关文件证明）</w:t>
      </w:r>
    </w:p>
    <w:p>
      <w:pPr>
        <w:pStyle w:val="null3"/>
      </w:pPr>
      <w:r>
        <w:rPr>
          <w:rFonts w:ascii="仿宋_GB2312" w:hAnsi="仿宋_GB2312" w:cs="仿宋_GB2312" w:eastAsia="仿宋_GB2312"/>
        </w:rPr>
        <w:t>4、社保缴纳证明：提供2024年1月1日至今任意一个月的社保缴费凭据或社保机构开具的社会保险参保缴费情况证明；（依法不需要缴纳社会保障资金的供应商应提供相关证明）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7、法定代表人授权书：法定代表人或负责人参与磋商时需提供法定代表人或负责人资格证明书（附法定代表人或负责人身份证复印件）；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10、本项目专门面向中小企业采购：本项目专门面向中小企业采购；须符合《政府采购促进中小企业发展管理办法》（财库〔2020〕46号）规定的中小企业参加；(提供《中小企业声明函》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西安市房产交易管理中心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029-82555781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陕西慧通广和项目管理有限公司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西安市未央区谭家街道渭滨路水晶新天地1单元1001室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029-86639287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西安市房产交易管理中心</w:t>
      </w:r>
      <w:r>
        <w:rPr>
          <w:rFonts w:ascii="仿宋_GB2312" w:hAnsi="仿宋_GB2312" w:cs="仿宋_GB2312" w:eastAsia="仿宋_GB2312"/>
        </w:rPr>
        <w:t>和</w:t>
      </w:r>
      <w:r>
        <w:rPr>
          <w:rFonts w:ascii="仿宋_GB2312" w:hAnsi="仿宋_GB2312" w:cs="仿宋_GB2312" w:eastAsia="仿宋_GB2312"/>
        </w:rPr>
        <w:t>陕西慧通广和项目管理有限公司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西安市房产交易管理中心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陕西慧通广和项目管理有限公司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西安市房产交易管理中心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陕西慧通广和项目管理有限公司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联系电话：029-86639287</w:t>
      </w:r>
    </w:p>
    <w:p>
      <w:pPr>
        <w:pStyle w:val="null3"/>
      </w:pPr>
      <w:r>
        <w:rPr>
          <w:rFonts w:ascii="仿宋_GB2312" w:hAnsi="仿宋_GB2312" w:cs="仿宋_GB2312" w:eastAsia="仿宋_GB2312"/>
        </w:rPr>
        <w:t>地址：西安市未央区谭家街道渭滨路水晶新天地1单元1001室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为方便企业群众就近办理房产交易登记业务，提高房产交易服务工作效能，更好更优更高效地服务企业和群众。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1,226,000.00</w:t>
      </w:r>
    </w:p>
    <w:p>
      <w:pPr>
        <w:pStyle w:val="null3"/>
      </w:pPr>
      <w:r>
        <w:rPr>
          <w:rFonts w:ascii="仿宋_GB2312" w:hAnsi="仿宋_GB2312" w:cs="仿宋_GB2312" w:eastAsia="仿宋_GB2312"/>
        </w:rPr>
        <w:t>采购包最高限价（元）: 1,226,000.00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交易大厅协助运维费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标的名称：交易大厅协助运维费</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米家崖及西大街交易大厅协助运维项目</w:t>
            </w:r>
          </w:p>
        </w:tc>
        <w:tc>
          <w:tcPr>
            <w:tcW w:type="dxa" w:w="2076"/>
          </w:tcPr>
          <w:p>
            <w:pPr>
              <w:pStyle w:val="null3"/>
            </w:pPr>
            <w:r>
              <w:rPr>
                <w:rFonts w:ascii="仿宋_GB2312" w:hAnsi="仿宋_GB2312" w:cs="仿宋_GB2312" w:eastAsia="仿宋_GB2312"/>
              </w:rPr>
              <w:t>1.办事大厅转件服务</w:t>
            </w:r>
            <w:r>
              <w:br/>
            </w:r>
            <w:r>
              <w:rPr>
                <w:rFonts w:ascii="仿宋_GB2312" w:hAnsi="仿宋_GB2312" w:cs="仿宋_GB2312" w:eastAsia="仿宋_GB2312"/>
              </w:rPr>
              <w:t xml:space="preserve"> 转移整理资料及档案并往返于各行政单位和职能部门的业务往来服务。办事大厅提供的转件服务人员不少于1人，提供的车辆服务不少于1辆。</w:t>
            </w:r>
            <w:r>
              <w:br/>
            </w:r>
            <w:r>
              <w:rPr>
                <w:rFonts w:ascii="仿宋_GB2312" w:hAnsi="仿宋_GB2312" w:cs="仿宋_GB2312" w:eastAsia="仿宋_GB2312"/>
              </w:rPr>
              <w:t xml:space="preserve"> 2.引导+服务</w:t>
            </w:r>
            <w:r>
              <w:br/>
            </w:r>
            <w:r>
              <w:rPr>
                <w:rFonts w:ascii="仿宋_GB2312" w:hAnsi="仿宋_GB2312" w:cs="仿宋_GB2312" w:eastAsia="仿宋_GB2312"/>
              </w:rPr>
              <w:t xml:space="preserve"> 服务大厅办事引导、业务咨询、政策宣传等工作。人员配备要求：不少于7人；均应当具备大专以上学历，具备相应的工作能力，身体健康，形象好，气质佳，待人和蔼，无犯罪等不良记录。</w:t>
            </w:r>
            <w:r>
              <w:br/>
            </w:r>
            <w:r>
              <w:rPr>
                <w:rFonts w:ascii="仿宋_GB2312" w:hAnsi="仿宋_GB2312" w:cs="仿宋_GB2312" w:eastAsia="仿宋_GB2312"/>
              </w:rPr>
              <w:t xml:space="preserve"> 3.免费代办服务</w:t>
            </w:r>
            <w:r>
              <w:br/>
            </w:r>
            <w:r>
              <w:rPr>
                <w:rFonts w:ascii="仿宋_GB2312" w:hAnsi="仿宋_GB2312" w:cs="仿宋_GB2312" w:eastAsia="仿宋_GB2312"/>
              </w:rPr>
              <w:t xml:space="preserve"> 帮助办事群众进行存量房合同填写、了解交易办事流程，为办事群众提供高效便捷的服务体验。人员配备要求：不少于2人；均应当具备大专以上学历，具备相应的工作能力，身体健康，形象好，气质佳，待人和蔼，无犯罪等不良记录。</w:t>
            </w:r>
            <w:r>
              <w:br/>
            </w:r>
            <w:r>
              <w:rPr>
                <w:rFonts w:ascii="仿宋_GB2312" w:hAnsi="仿宋_GB2312" w:cs="仿宋_GB2312" w:eastAsia="仿宋_GB2312"/>
              </w:rPr>
              <w:t xml:space="preserve"> 4.“办不成事”反映服务</w:t>
            </w:r>
            <w:r>
              <w:br/>
            </w:r>
            <w:r>
              <w:rPr>
                <w:rFonts w:ascii="仿宋_GB2312" w:hAnsi="仿宋_GB2312" w:cs="仿宋_GB2312" w:eastAsia="仿宋_GB2312"/>
              </w:rPr>
              <w:t xml:space="preserve"> 对群众在业务办理时因政策、系统、材料要件以及办理程序等原因办不成或多次办问题，进行协调解释。人员配备要求：不少于2人；均应当具备大专以上学历，具备相应的工作能力，具备较强的抗压能力，身体健康，待人和蔼，无犯罪等不良记录。</w:t>
            </w:r>
            <w:r>
              <w:br/>
            </w:r>
            <w:r>
              <w:rPr>
                <w:rFonts w:ascii="仿宋_GB2312" w:hAnsi="仿宋_GB2312" w:cs="仿宋_GB2312" w:eastAsia="仿宋_GB2312"/>
              </w:rPr>
              <w:t xml:space="preserve"> 5.互联网+自助服务</w:t>
            </w:r>
            <w:r>
              <w:br/>
            </w:r>
            <w:r>
              <w:rPr>
                <w:rFonts w:ascii="仿宋_GB2312" w:hAnsi="仿宋_GB2312" w:cs="仿宋_GB2312" w:eastAsia="仿宋_GB2312"/>
              </w:rPr>
              <w:t xml:space="preserve"> “互联网+房产交易”网上办、二手房交易业务“一窗办”两种模式，实现办事群众即来即办。人员配备要求：不少于2人；均应当具备大专以上学历，具备相应的工作能力，具备较强的语言表达沟通能力，身体健康，待人和蔼，无犯罪等不良记录。</w:t>
            </w:r>
            <w:r>
              <w:br/>
            </w:r>
            <w:r>
              <w:rPr>
                <w:rFonts w:ascii="仿宋_GB2312" w:hAnsi="仿宋_GB2312" w:cs="仿宋_GB2312" w:eastAsia="仿宋_GB2312"/>
              </w:rPr>
              <w:t xml:space="preserve"> 6.金融宣传服务</w:t>
            </w:r>
            <w:r>
              <w:br/>
            </w:r>
            <w:r>
              <w:rPr>
                <w:rFonts w:ascii="仿宋_GB2312" w:hAnsi="仿宋_GB2312" w:cs="仿宋_GB2312" w:eastAsia="仿宋_GB2312"/>
              </w:rPr>
              <w:t xml:space="preserve"> 通过“线上＋线下”双模式提升大厅特色服务。人员配备要求：不少于2人；均应当具备大专以上学历，具备相应的工作能力，具备较强的语言表达沟通能力，熟悉相关业务政策，待人和蔼，无犯罪等不良记录。</w:t>
            </w:r>
            <w:r>
              <w:br/>
            </w:r>
            <w:r>
              <w:rPr>
                <w:rFonts w:ascii="仿宋_GB2312" w:hAnsi="仿宋_GB2312" w:cs="仿宋_GB2312" w:eastAsia="仿宋_GB2312"/>
              </w:rPr>
              <w:t xml:space="preserve"> 7.业务培训服务</w:t>
            </w:r>
            <w:r>
              <w:br/>
            </w:r>
            <w:r>
              <w:rPr>
                <w:rFonts w:ascii="仿宋_GB2312" w:hAnsi="仿宋_GB2312" w:cs="仿宋_GB2312" w:eastAsia="仿宋_GB2312"/>
              </w:rPr>
              <w:t xml:space="preserve"> 定期内部业务、礼仪、安全等多领域的主题培训提升大厅工作人员的办事能力。人员配备要求：不少于2人；均应当具备大专以上学历，具备相应的工作能力，具备较强的语言表达沟通能力，身体健康，待人和蔼，无犯罪等不良记录。</w:t>
            </w:r>
            <w:r>
              <w:br/>
            </w:r>
            <w:r>
              <w:rPr>
                <w:rFonts w:ascii="仿宋_GB2312" w:hAnsi="仿宋_GB2312" w:cs="仿宋_GB2312" w:eastAsia="仿宋_GB2312"/>
              </w:rPr>
              <w:t xml:space="preserve"> 8.综合耗材及检修服务</w:t>
            </w:r>
            <w:r>
              <w:br/>
            </w:r>
            <w:r>
              <w:rPr>
                <w:rFonts w:ascii="仿宋_GB2312" w:hAnsi="仿宋_GB2312" w:cs="仿宋_GB2312" w:eastAsia="仿宋_GB2312"/>
              </w:rPr>
              <w:t xml:space="preserve"> 办公耗材、保洁耗材、工程耗材、弱电设备等耗材采买及检修，保证大厅的稳步运营。</w:t>
            </w:r>
            <w:r>
              <w:br/>
            </w:r>
            <w:r>
              <w:rPr>
                <w:rFonts w:ascii="仿宋_GB2312" w:hAnsi="仿宋_GB2312" w:cs="仿宋_GB2312" w:eastAsia="仿宋_GB2312"/>
              </w:rPr>
              <w:t xml:space="preserve"> 需满足的要求:相关服务人员需具备行业内工作经验不少于1年。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自合同签订之日起服务期1年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依据竞争性磋商文件、竞争性磋商响应文件、澄清表（函）、合同内容及附件文本；合同签订时国家及行业现行的标准和技术规范，自行组织验收。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合同签署完成第一季度服务完成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验收合格后按季度支付剩余款项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质量保修范围和保修期：自甲方最终验收合格之日起1年，若该质量保证期小于国家标准，则以国家标准为准。 供应商应自响应文件递交截止时间起至评审结束保持在线状态。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法定代表人资格证明书.docx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（1）《政府采购促进中小企业发展管理办法》的通知--财库〔2020〕46号 （2）陕西省财政厅关于印发《陕西省中小企业政府采购信用融资办法》--(陕财办采〔2018〕23号)、《关于进一步加大政府采购支持中小企业力度的通知》（财库〔2022〕19号） （3）《陕西省财政厅关于进一步加大政府采购支持中小企业力度的通知》（陕财办采〔2022〕5号）、《陕西省财政厅关于落实政府采购支持中小企业政策有关事项的通知》（陕财办采函〔2022〕10号） （4）《陕西省财政厅关于加快推进我省中小企业政府采购信用融资工作的通知》（陕财办采〔2020〕15号） （5）财政部司法部关于政府采购支持监狱企业发展有关问题的通知--财库〔2014〕68号 （6）《国务院办公厅关于建立政府强制采购节能产品制度的通知》--国办发〔2007〕51号 （7）《财政部发展改革委生态环境部市场监管总局关于调整优化节能产品、环境标志产品政府采购执行机制的通知》--（财库[2019]9号） （8）《市场监管总局关于发布参与实施政府采购节能产品、环境标志产品认证机构名录的公告》--2019年第16号 （9）《财政部民政部中国残疾人联合会关于促进残疾人就业政府采购政策的通知》--（财库〔2017〕141号） (10）《财政部国务院扶贫办关于运用政府采购政策支持脱贫攻坚的通知》（财库〔2019〕27号） （11）《关于进一步加强政府绿色采购有关问题的通知》（陕财办采〔2021〕29号） （12）如有最新颁布的政府采购政策，按最新的文件执行。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法定代表人资格证明书.docx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商务应答表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 中小企业声明函 商务应答表 法定代表人资格证明书.docx 报价表 资格证明文件.docx 供应商承诺书.docx 服务条款响应偏离表.docx 供应商认为需要说明的其他内容.docx 响应文件封面 残疾人福利性单位声明函 服务方案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 中小企业声明函 商务应答表 法定代表人资格证明书.docx 报价表 资格证明文件.docx 供应商承诺书.docx 服务条款响应偏离表.docx 供应商认为需要说明的其他内容.docx 残疾人福利性单位声明函 服务方案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服务方案 响应函 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商务要求明确且实质性响应</w:t>
            </w:r>
          </w:p>
        </w:tc>
        <w:tc>
          <w:tcPr>
            <w:tcW w:type="dxa" w:w="3322"/>
          </w:tcPr>
          <w:p>
            <w:pPr>
              <w:pStyle w:val="null3"/>
            </w:pPr>
            <w:r>
              <w:rPr>
                <w:rFonts w:ascii="仿宋_GB2312" w:hAnsi="仿宋_GB2312" w:cs="仿宋_GB2312" w:eastAsia="仿宋_GB2312"/>
              </w:rPr>
              <w:t>对磋商文件商务要求作出明确且实质性响应</w:t>
            </w:r>
          </w:p>
        </w:tc>
        <w:tc>
          <w:tcPr>
            <w:tcW w:type="dxa" w:w="1661"/>
          </w:tcPr>
          <w:p>
            <w:pPr>
              <w:pStyle w:val="null3"/>
            </w:pPr>
            <w:r>
              <w:rPr>
                <w:rFonts w:ascii="仿宋_GB2312" w:hAnsi="仿宋_GB2312" w:cs="仿宋_GB2312" w:eastAsia="仿宋_GB2312"/>
              </w:rPr>
              <w:t>分项报价表 中小企业声明函 商务应答表 法定代表人资格证明书.docx 报价表 资格证明文件.docx 供应商承诺书.docx 服务条款响应偏离表.docx 供应商认为需要说明的其他内容.docx 残疾人福利性单位声明函 服务方案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1、服务方案合理、严谨、有针对性的，满足招标文件要求，完善得12分；服务方案较合理、完善、可行得8分；服务方案有欠缺得4分；未提供不计分； 2、服务标准明确，有完善的服务体系、制度和控制措施，方案详尽、全面、有效、合理，可实施性强得12分，方案有效、合理，具有可实施性得8分，方案不合理、可实施性差得4分；未提供不计分； 3、管理人员配备包括：合理配备各岗位管理人员的专业素质要求;对各类人员各阶段的培训计划、方式、内容和目标及录用与考核办法、激励机制、淘汰机制及奖惩措施等，管理制度全面、有效、规范、可行，得12分，管理制度有效、可行得8分，管理制度不健全得4分；未提供不计分； 4、有全面的管理制度、培训体系较为完善，管理制度全面、有效、规范、可行得12分，管理制度有效、可行得8分，管理制度不健全得4分；未提供不计分； 5、有专门的安全保障措施、应急预案、专业的安全保障设施和安全控制体系，应急保障措施全面、有效、合理、规范、可实施性强得12分，应急保障措施有效、合理，具有一定实施性得8分，应急保障措施简单、不规范，得4分，未提供不计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1、有详细的项目进度计划和安全保障计划，服务措施详尽、全面、有效、合理，可实施性强得10分；服务措施有效、合理，具有一定实施性得6分；服务措施简单、不具有实施性，得3分，未提供不计分； 2、各供应商应完整、准确地表述出针对本次项目的服务承诺（包含针对本项目的各项服务质量目标、保障措施及服务人员入场计划），承诺各管理项目指标达到国家相关标准，全面得10分，较为全面6分，一般得3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以合同复印件形式提供2021年1月1日至今同类项目业绩，每份计1分，计满3分为止。 注：供应商需提供采购合同（含首页、服务内容、签字盖章页）复印件，否则业绩不予认可。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针对本项目有实质性合理化建议，有利于提高项目管理水平或降低项目实施成本的，根据其可行性详细程度计全面得7分，一般得3分，未提供不得分；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