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版本号：QZ-ZB-202500220250311001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高素质农民认定管理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QZ-ZB-2025002</w:t>
      </w:r>
      <w:r>
        <w:br/>
      </w:r>
      <w:r>
        <w:br/>
      </w:r>
      <w:r>
        <w:br/>
      </w:r>
    </w:p>
    <w:p>
      <w:pPr>
        <w:pStyle w:val="null3"/>
        <w:jc w:val="center"/>
        <w:outlineLvl w:val="2"/>
      </w:pPr>
      <w:r>
        <w:rPr>
          <w:rFonts w:ascii="仿宋_GB2312" w:hAnsi="仿宋_GB2312" w:cs="仿宋_GB2312" w:eastAsia="仿宋_GB2312"/>
          <w:sz w:val="28"/>
          <w:b/>
        </w:rPr>
        <w:t>西安市农业技术推广中心</w:t>
      </w:r>
    </w:p>
    <w:p>
      <w:pPr>
        <w:pStyle w:val="null3"/>
        <w:jc w:val="center"/>
        <w:outlineLvl w:val="2"/>
      </w:pPr>
      <w:r>
        <w:rPr>
          <w:rFonts w:ascii="仿宋_GB2312" w:hAnsi="仿宋_GB2312" w:cs="仿宋_GB2312" w:eastAsia="仿宋_GB2312"/>
          <w:sz w:val="28"/>
          <w:b/>
        </w:rPr>
        <w:t>全咨工程管理咨询有限公司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全咨工程管理咨询有限公司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西安市农业技术推广中心</w:t>
      </w:r>
      <w:r>
        <w:rPr>
          <w:rFonts w:ascii="仿宋_GB2312" w:hAnsi="仿宋_GB2312" w:cs="仿宋_GB2312" w:eastAsia="仿宋_GB2312"/>
        </w:rPr>
        <w:t>委托，拟对</w:t>
      </w:r>
      <w:r>
        <w:rPr>
          <w:rFonts w:ascii="仿宋_GB2312" w:hAnsi="仿宋_GB2312" w:cs="仿宋_GB2312" w:eastAsia="仿宋_GB2312"/>
        </w:rPr>
        <w:t>高素质农民认定管理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QZ-ZB-2025002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高素质农民认定管理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高素质农民认定管理，具体详见采购文件。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采购包1（高素质农民认定管理）：属于专门面向小微企业采购。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 或自然人，并出具合法有效的营业执照或事业 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2、财务状况报告：提供具有财务审计资质单位出具的2022年度或 2023年度财务报告（成立时间至开标时间不足 一年的可提供成立后任意时段的资产负债表）或开标前六个月内其基本账户银行出具的资信 证明（附开户许可证或基本账户证明）或政府采购信用担保机构出具的投标担保函；</w:t>
      </w:r>
    </w:p>
    <w:p>
      <w:pPr>
        <w:pStyle w:val="null3"/>
      </w:pPr>
      <w:r>
        <w:rPr>
          <w:rFonts w:ascii="仿宋_GB2312" w:hAnsi="仿宋_GB2312" w:cs="仿宋_GB2312" w:eastAsia="仿宋_GB2312"/>
        </w:rPr>
        <w:t>3、提供参加政府采购活动前三年内在 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4、法定代表人或负责人授权委托书：被授权人参与投标时需提供法定代表人或负责 人授权委托书（附法定代表人或负责人及被授权人身份证复印件）；</w:t>
      </w:r>
    </w:p>
    <w:p>
      <w:pPr>
        <w:pStyle w:val="null3"/>
      </w:pPr>
      <w:r>
        <w:rPr>
          <w:rFonts w:ascii="仿宋_GB2312" w:hAnsi="仿宋_GB2312" w:cs="仿宋_GB2312" w:eastAsia="仿宋_GB2312"/>
        </w:rPr>
        <w:t>5、不得为失信被执行人：投标人不得为“信用中国” 网站（www.creditc hina.gov.cn）中列入失信被执行人和重大税收 违法案件当事人名单的投标人，不得为中国政府采购网（www.ccgp.gov.cn）政府采购严重违法失信行为记录名单中被财政部门禁止参加政府采购活动的投标人；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6、单位负责人为同一人或者存在直接 控股、管理关系的不同投标人，不得参加同一合同项下的政府采购活动：单位负责人为同一人或者存在直接控股、管理 关系的不同投标人，不得参加同一合同项下的 政府采购活动；</w:t>
      </w:r>
    </w:p>
    <w:p>
      <w:pPr>
        <w:pStyle w:val="null3"/>
      </w:pPr>
      <w:r>
        <w:rPr>
          <w:rFonts w:ascii="仿宋_GB2312" w:hAnsi="仿宋_GB2312" w:cs="仿宋_GB2312" w:eastAsia="仿宋_GB2312"/>
        </w:rPr>
        <w:t>7、本项目不接受联合体投标：本项目不接受联合体投标（提供非联合体声明, 格式自拟加盖投标人公章）</w:t>
      </w:r>
    </w:p>
    <w:p>
      <w:pPr>
        <w:pStyle w:val="null3"/>
      </w:pPr>
      <w:r>
        <w:rPr>
          <w:rFonts w:ascii="仿宋_GB2312" w:hAnsi="仿宋_GB2312" w:cs="仿宋_GB2312" w:eastAsia="仿宋_GB2312"/>
        </w:rPr>
        <w:t>8、本项目专门面向小微企业：本项目专门面向小微企业（提供声明函或承诺书）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西安市长安南路140号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15829355616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全咨工程管理咨询有限公司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西安市新城区北关正街9号鸿海大厦10楼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18691488765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代理服务费收费标准：招标代理服务费参照“发改办价格[2002]1980号文”规定收取，收取基数以中标价格为准。不足伍仟元按伍仟元收取。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西安市农业技术推广中心</w:t>
      </w:r>
      <w:r>
        <w:rPr>
          <w:rFonts w:ascii="仿宋_GB2312" w:hAnsi="仿宋_GB2312" w:cs="仿宋_GB2312" w:eastAsia="仿宋_GB2312"/>
        </w:rPr>
        <w:t>和</w:t>
      </w:r>
      <w:r>
        <w:rPr>
          <w:rFonts w:ascii="仿宋_GB2312" w:hAnsi="仿宋_GB2312" w:cs="仿宋_GB2312" w:eastAsia="仿宋_GB2312"/>
        </w:rPr>
        <w:t>全咨工程管理咨询有限公司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全咨工程管理咨询有限公司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全咨工程管理咨询有限公司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1、达到国家法律规范要求或相关行业标准，通过省、市检查验收合格，及省级部门项目绩效考核。 2、验收依据：合同文本、磋商文件和磋商响应文件。 3、验收实施细则：一是对学员:对于全勤学时总数＞60（单位：学时）的培训班，其个人出勤学时比率&lt;50%的，不得认定为学员，不予补助；50%≤个人出勤学时&lt;75%学时，认定为学员，但是按照个人的标准75%降档补助;个人出勤学时≥75%时，可认定为学员，可享受全额补助；对于个人出勤学时≤60的培训班，其个人出勤学时不到80%的，不得认定为学员，不予补助;个人出勤学时达到80%，可认定为学员，可享受补助。二是对班级整体出勤率作了严格限定。以班为单位计算，每个培训班整体出勤率必须达到90%，否则不得通过验收。其整体出勤率按照认定学员的学时累计数/(认定学员数x全勤学时数)计算。达不到90%标准的，培训机构需安排整体补课或者压减认定学员人数，直到达到90%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全咨工程管理咨询有限公司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全咨工程管理咨询有限公司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全咨工程管理咨询有限公司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联系人：宋飞</w:t>
      </w:r>
    </w:p>
    <w:p>
      <w:pPr>
        <w:pStyle w:val="null3"/>
      </w:pPr>
      <w:r>
        <w:rPr>
          <w:rFonts w:ascii="仿宋_GB2312" w:hAnsi="仿宋_GB2312" w:cs="仿宋_GB2312" w:eastAsia="仿宋_GB2312"/>
        </w:rPr>
        <w:t>联系电话：18691488765</w:t>
      </w:r>
    </w:p>
    <w:p>
      <w:pPr>
        <w:pStyle w:val="null3"/>
      </w:pPr>
      <w:r>
        <w:rPr>
          <w:rFonts w:ascii="仿宋_GB2312" w:hAnsi="仿宋_GB2312" w:cs="仿宋_GB2312" w:eastAsia="仿宋_GB2312"/>
        </w:rPr>
        <w:t>地址：西安市新城区北关正街9号鸿海大厦10楼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加强西安市高素质农民队伍建设，切实提升高素质农民素养和技能水平，按照省农业农村厅2024年《关于印发2024年度第四批省级财政农业专项资金实施方案的通知》任务分配和要求，按市财政局要求将此项资金用于培训：开展高素质农民认定学员人数不少于2000人，并制作认定证书不少于2000本；开展农民教育培训管理者能力提升、师资能力提升暨培育工作推进会、高素质农民技能大赛、高素质农民素养提升等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高素质农民认定管理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标的名称：高素质农民认定管理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高素质农民认定管理采购内容及需求</w:t>
            </w:r>
          </w:p>
        </w:tc>
        <w:tc>
          <w:tcPr>
            <w:tcW w:type="dxa" w:w="2076"/>
          </w:tcPr>
          <w:p>
            <w:pPr>
              <w:pStyle w:val="null3"/>
              <w:ind w:firstLine="330"/>
              <w:jc w:val="both"/>
            </w:pPr>
            <w:r>
              <w:rPr>
                <w:rFonts w:ascii="仿宋_GB2312" w:hAnsi="仿宋_GB2312" w:cs="仿宋_GB2312" w:eastAsia="仿宋_GB2312"/>
                <w:sz w:val="22"/>
              </w:rPr>
              <w:t>一、</w:t>
            </w:r>
            <w:r>
              <w:rPr>
                <w:rFonts w:ascii="仿宋_GB2312" w:hAnsi="仿宋_GB2312" w:cs="仿宋_GB2312" w:eastAsia="仿宋_GB2312"/>
                <w:sz w:val="22"/>
              </w:rPr>
              <w:t>技术要求：</w:t>
            </w:r>
          </w:p>
          <w:p>
            <w:pPr>
              <w:pStyle w:val="null3"/>
              <w:ind w:firstLine="440"/>
            </w:pPr>
            <w:r>
              <w:rPr>
                <w:rFonts w:ascii="仿宋_GB2312" w:hAnsi="仿宋_GB2312" w:cs="仿宋_GB2312" w:eastAsia="仿宋_GB2312"/>
                <w:sz w:val="22"/>
              </w:rPr>
              <w:t>服务内容：</w:t>
            </w:r>
            <w:r>
              <w:rPr>
                <w:rFonts w:ascii="仿宋_GB2312" w:hAnsi="仿宋_GB2312" w:cs="仿宋_GB2312" w:eastAsia="仿宋_GB2312"/>
                <w:sz w:val="22"/>
              </w:rPr>
              <w:t>在全市范围内培训</w:t>
            </w:r>
            <w:r>
              <w:rPr>
                <w:rFonts w:ascii="仿宋_GB2312" w:hAnsi="仿宋_GB2312" w:cs="仿宋_GB2312" w:eastAsia="仿宋_GB2312"/>
                <w:sz w:val="22"/>
              </w:rPr>
              <w:t>，</w:t>
            </w:r>
            <w:r>
              <w:rPr>
                <w:rFonts w:ascii="仿宋_GB2312" w:hAnsi="仿宋_GB2312" w:cs="仿宋_GB2312" w:eastAsia="仿宋_GB2312"/>
                <w:sz w:val="22"/>
              </w:rPr>
              <w:t>开展高素质农民认定学员人数不少于</w:t>
            </w:r>
            <w:r>
              <w:rPr>
                <w:rFonts w:ascii="仿宋_GB2312" w:hAnsi="仿宋_GB2312" w:cs="仿宋_GB2312" w:eastAsia="仿宋_GB2312"/>
                <w:sz w:val="22"/>
              </w:rPr>
              <w:t>2000人，并制作认定证书不少于2000本；开展农民教育培训管理者能力提升培训50人，6天；师资能力提升</w:t>
            </w:r>
            <w:r>
              <w:rPr>
                <w:rFonts w:ascii="仿宋_GB2312" w:hAnsi="仿宋_GB2312" w:cs="仿宋_GB2312" w:eastAsia="仿宋_GB2312"/>
                <w:sz w:val="22"/>
              </w:rPr>
              <w:t>培训</w:t>
            </w:r>
            <w:r>
              <w:rPr>
                <w:rFonts w:ascii="仿宋_GB2312" w:hAnsi="仿宋_GB2312" w:cs="仿宋_GB2312" w:eastAsia="仿宋_GB2312"/>
                <w:sz w:val="22"/>
              </w:rPr>
              <w:t>50人，4天；高素质农民素养提升培训100人，3天；高素质农民技能大赛125人，2天；评委及授课教师20人。</w:t>
            </w:r>
          </w:p>
          <w:p>
            <w:pPr>
              <w:pStyle w:val="null3"/>
              <w:ind w:firstLine="440"/>
            </w:pPr>
            <w:r>
              <w:rPr>
                <w:rFonts w:ascii="仿宋_GB2312" w:hAnsi="仿宋_GB2312" w:cs="仿宋_GB2312" w:eastAsia="仿宋_GB2312"/>
                <w:sz w:val="22"/>
              </w:rPr>
              <w:t>服务标准：按照高素质农民认定管理项目相关内容开展培训。</w:t>
            </w:r>
          </w:p>
          <w:p>
            <w:pPr>
              <w:pStyle w:val="null3"/>
              <w:ind w:firstLine="440"/>
              <w:jc w:val="both"/>
            </w:pPr>
            <w:r>
              <w:rPr>
                <w:rFonts w:ascii="仿宋_GB2312" w:hAnsi="仿宋_GB2312" w:cs="仿宋_GB2312" w:eastAsia="仿宋_GB2312"/>
                <w:sz w:val="22"/>
              </w:rPr>
              <w:t>二、培训对象</w:t>
            </w:r>
          </w:p>
          <w:p>
            <w:pPr>
              <w:pStyle w:val="null3"/>
              <w:ind w:firstLine="440"/>
              <w:jc w:val="both"/>
            </w:pPr>
            <w:r>
              <w:rPr>
                <w:rFonts w:ascii="仿宋_GB2312" w:hAnsi="仿宋_GB2312" w:cs="仿宋_GB2312" w:eastAsia="仿宋_GB2312"/>
                <w:sz w:val="22"/>
              </w:rPr>
              <w:t>1.市、区（县）高素质农民培育工作管理人员；</w:t>
            </w:r>
          </w:p>
          <w:p>
            <w:pPr>
              <w:pStyle w:val="null3"/>
              <w:ind w:firstLine="440"/>
              <w:jc w:val="both"/>
            </w:pPr>
            <w:r>
              <w:rPr>
                <w:rFonts w:ascii="仿宋_GB2312" w:hAnsi="仿宋_GB2312" w:cs="仿宋_GB2312" w:eastAsia="仿宋_GB2312"/>
                <w:sz w:val="22"/>
              </w:rPr>
              <w:t>2.市、区（县）高素质农民培育骨干教师；</w:t>
            </w:r>
          </w:p>
          <w:p>
            <w:pPr>
              <w:pStyle w:val="null3"/>
              <w:ind w:firstLine="440"/>
              <w:jc w:val="both"/>
            </w:pPr>
            <w:r>
              <w:rPr>
                <w:rFonts w:ascii="仿宋_GB2312" w:hAnsi="仿宋_GB2312" w:cs="仿宋_GB2312" w:eastAsia="仿宋_GB2312"/>
                <w:sz w:val="22"/>
              </w:rPr>
              <w:t>3.高素质农民代表。</w:t>
            </w:r>
          </w:p>
          <w:p>
            <w:pPr>
              <w:pStyle w:val="null3"/>
              <w:ind w:firstLine="440"/>
              <w:jc w:val="both"/>
            </w:pPr>
            <w:r>
              <w:rPr>
                <w:rFonts w:ascii="仿宋_GB2312" w:hAnsi="仿宋_GB2312" w:cs="仿宋_GB2312" w:eastAsia="仿宋_GB2312"/>
                <w:sz w:val="22"/>
              </w:rPr>
              <w:t>三</w:t>
            </w:r>
            <w:r>
              <w:rPr>
                <w:rFonts w:ascii="仿宋_GB2312" w:hAnsi="仿宋_GB2312" w:cs="仿宋_GB2312" w:eastAsia="仿宋_GB2312"/>
                <w:sz w:val="22"/>
              </w:rPr>
              <w:t>、培训内容</w:t>
            </w:r>
          </w:p>
          <w:p>
            <w:pPr>
              <w:pStyle w:val="null3"/>
              <w:ind w:firstLine="440"/>
              <w:jc w:val="both"/>
            </w:pPr>
            <w:r>
              <w:rPr>
                <w:rFonts w:ascii="仿宋_GB2312" w:hAnsi="仿宋_GB2312" w:cs="仿宋_GB2312" w:eastAsia="仿宋_GB2312"/>
                <w:sz w:val="22"/>
              </w:rPr>
              <w:t>学习乡村振兴与新质生产力、</w:t>
            </w:r>
            <w:r>
              <w:rPr>
                <w:rFonts w:ascii="仿宋_GB2312" w:hAnsi="仿宋_GB2312" w:cs="仿宋_GB2312" w:eastAsia="仿宋_GB2312"/>
                <w:sz w:val="22"/>
              </w:rPr>
              <w:t>AI助力现代农业、都市农业发展典型模式、培育项目管理与申报、未来农业变革与中国式农业现代化，结构化研讨与座谈交流、团队拓展等专题内容。</w:t>
            </w:r>
          </w:p>
          <w:p>
            <w:pPr>
              <w:pStyle w:val="null3"/>
              <w:ind w:firstLine="440"/>
              <w:jc w:val="both"/>
            </w:pPr>
            <w:r>
              <w:rPr>
                <w:rFonts w:ascii="仿宋_GB2312" w:hAnsi="仿宋_GB2312" w:cs="仿宋_GB2312" w:eastAsia="仿宋_GB2312"/>
                <w:sz w:val="22"/>
              </w:rPr>
              <w:t>四、培训方式</w:t>
            </w:r>
          </w:p>
          <w:p>
            <w:pPr>
              <w:pStyle w:val="null3"/>
              <w:ind w:firstLine="440"/>
              <w:jc w:val="both"/>
            </w:pPr>
            <w:r>
              <w:rPr>
                <w:rFonts w:ascii="仿宋_GB2312" w:hAnsi="仿宋_GB2312" w:cs="仿宋_GB2312" w:eastAsia="仿宋_GB2312"/>
                <w:sz w:val="22"/>
              </w:rPr>
              <w:t>1.专家讲座：邀请业内资深专家进行理论知识讲解。</w:t>
            </w:r>
          </w:p>
          <w:p>
            <w:pPr>
              <w:pStyle w:val="null3"/>
              <w:ind w:firstLine="440"/>
              <w:jc w:val="both"/>
            </w:pPr>
            <w:r>
              <w:rPr>
                <w:rFonts w:ascii="仿宋_GB2312" w:hAnsi="仿宋_GB2312" w:cs="仿宋_GB2312" w:eastAsia="仿宋_GB2312"/>
                <w:sz w:val="22"/>
              </w:rPr>
              <w:t>2.实地观摩：前往农业园区、实训基地等开展现场教学。</w:t>
            </w:r>
          </w:p>
          <w:p>
            <w:pPr>
              <w:pStyle w:val="null3"/>
              <w:ind w:firstLine="440"/>
              <w:jc w:val="both"/>
            </w:pPr>
            <w:r>
              <w:rPr>
                <w:rFonts w:ascii="仿宋_GB2312" w:hAnsi="仿宋_GB2312" w:cs="仿宋_GB2312" w:eastAsia="仿宋_GB2312"/>
                <w:sz w:val="22"/>
              </w:rPr>
              <w:t>3.座谈交流：组织学员进行经验分享与问题讨论。</w:t>
            </w:r>
          </w:p>
          <w:p>
            <w:pPr>
              <w:pStyle w:val="null3"/>
              <w:ind w:firstLine="440"/>
              <w:jc w:val="both"/>
            </w:pPr>
            <w:r>
              <w:rPr>
                <w:rFonts w:ascii="仿宋_GB2312" w:hAnsi="仿宋_GB2312" w:cs="仿宋_GB2312" w:eastAsia="仿宋_GB2312"/>
                <w:sz w:val="22"/>
              </w:rPr>
              <w:t>五、培训时间及地点</w:t>
            </w:r>
          </w:p>
          <w:p>
            <w:pPr>
              <w:pStyle w:val="null3"/>
              <w:ind w:firstLine="440"/>
              <w:jc w:val="both"/>
            </w:pPr>
            <w:r>
              <w:rPr>
                <w:rFonts w:ascii="仿宋_GB2312" w:hAnsi="仿宋_GB2312" w:cs="仿宋_GB2312" w:eastAsia="仿宋_GB2312"/>
                <w:sz w:val="22"/>
              </w:rPr>
              <w:t>2025年3月-6月，省内、成都市</w:t>
            </w:r>
          </w:p>
          <w:p>
            <w:pPr>
              <w:pStyle w:val="null3"/>
              <w:jc w:val="both"/>
            </w:pPr>
            <w:r>
              <w:rPr>
                <w:rFonts w:ascii="仿宋_GB2312" w:hAnsi="仿宋_GB2312" w:cs="仿宋_GB2312" w:eastAsia="仿宋_GB2312"/>
                <w:sz w:val="22"/>
              </w:rPr>
              <w:t>（一）农民教育培训能力提升培训</w:t>
            </w:r>
            <w:r>
              <w:rPr>
                <w:rFonts w:ascii="仿宋_GB2312" w:hAnsi="仿宋_GB2312" w:cs="仿宋_GB2312" w:eastAsia="仿宋_GB2312"/>
                <w:sz w:val="22"/>
              </w:rPr>
              <w:t>日程</w:t>
            </w:r>
            <w:r>
              <w:rPr>
                <w:rFonts w:ascii="仿宋_GB2312" w:hAnsi="仿宋_GB2312" w:cs="仿宋_GB2312" w:eastAsia="仿宋_GB2312"/>
                <w:sz w:val="22"/>
              </w:rPr>
              <w:t>安排</w:t>
            </w:r>
          </w:p>
          <w:tbl>
            <w:tblPr>
              <w:tblInd w:type="dxa" w:w="135"/>
              <w:tblBorders>
                <w:top w:val="none" w:color="000000" w:sz="4"/>
                <w:left w:val="none" w:color="000000" w:sz="4"/>
                <w:bottom w:val="none" w:color="000000" w:sz="4"/>
                <w:right w:val="none" w:color="000000" w:sz="4"/>
                <w:insideH w:val="none"/>
                <w:insideV w:val="none"/>
              </w:tblBorders>
            </w:tblPr>
            <w:tblGrid>
              <w:gridCol w:w="220"/>
              <w:gridCol w:w="291"/>
              <w:gridCol w:w="462"/>
              <w:gridCol w:w="887"/>
            </w:tblGrid>
            <w:tr>
              <w:tc>
                <w:tcPr>
                  <w:tcW w:type="dxa" w:w="220"/>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b/>
                      <w:color w:val="000000"/>
                    </w:rPr>
                    <w:t>日期</w:t>
                  </w:r>
                </w:p>
              </w:tc>
              <w:tc>
                <w:tcPr>
                  <w:tcW w:type="dxa" w:w="291"/>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b/>
                      <w:color w:val="000000"/>
                    </w:rPr>
                    <w:t>时间</w:t>
                  </w:r>
                </w:p>
              </w:tc>
              <w:tc>
                <w:tcPr>
                  <w:tcW w:type="dxa" w:w="462"/>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b/>
                      <w:color w:val="000000"/>
                    </w:rPr>
                    <w:t>培训安排</w:t>
                  </w:r>
                </w:p>
              </w:tc>
              <w:tc>
                <w:tcPr>
                  <w:tcW w:type="dxa" w:w="887"/>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b/>
                      <w:color w:val="000000"/>
                    </w:rPr>
                    <w:t>备注</w:t>
                  </w:r>
                </w:p>
              </w:tc>
            </w:tr>
            <w:tr>
              <w:tc>
                <w:tcPr>
                  <w:tcW w:type="dxa" w:w="220"/>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第一天</w:t>
                  </w: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left"/>
                  </w:pPr>
                  <w:r>
                    <w:rPr>
                      <w:rFonts w:ascii="仿宋_GB2312" w:hAnsi="仿宋_GB2312" w:cs="仿宋_GB2312" w:eastAsia="仿宋_GB2312"/>
                      <w:sz w:val="22"/>
                      <w:color w:val="000000"/>
                    </w:rPr>
                    <w:t>18:00前</w:t>
                  </w:r>
                </w:p>
              </w:tc>
              <w:tc>
                <w:tcPr>
                  <w:tcW w:type="dxa" w:w="1349"/>
                  <w:gridSpan w:val="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报到</w:t>
                  </w:r>
                </w:p>
              </w:tc>
            </w:tr>
            <w:tr>
              <w:tc>
                <w:tcPr>
                  <w:tcW w:type="dxa" w:w="220"/>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left"/>
                  </w:pPr>
                  <w:r>
                    <w:rPr>
                      <w:rFonts w:ascii="仿宋_GB2312" w:hAnsi="仿宋_GB2312" w:cs="仿宋_GB2312" w:eastAsia="仿宋_GB2312"/>
                      <w:sz w:val="22"/>
                      <w:color w:val="000000"/>
                    </w:rPr>
                    <w:t>19:00-20:30</w:t>
                  </w:r>
                </w:p>
              </w:tc>
              <w:tc>
                <w:tcPr>
                  <w:tcW w:type="dxa" w:w="1349"/>
                  <w:gridSpan w:val="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农民教育培训能力提升路径结构化研讨</w:t>
                  </w:r>
                </w:p>
              </w:tc>
            </w:tr>
            <w:tr>
              <w:tc>
                <w:tcPr>
                  <w:tcW w:type="dxa" w:w="220"/>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第二天</w:t>
                  </w: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left"/>
                  </w:pP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r>
                    <w:rPr>
                      <w:rFonts w:ascii="仿宋_GB2312" w:hAnsi="仿宋_GB2312" w:cs="仿宋_GB2312" w:eastAsia="仿宋_GB2312"/>
                      <w:sz w:val="22"/>
                      <w:color w:val="000000"/>
                    </w:rPr>
                    <w:t>00</w:t>
                  </w: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:00</w:t>
                  </w:r>
                </w:p>
              </w:tc>
              <w:tc>
                <w:tcPr>
                  <w:tcW w:type="dxa" w:w="46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成都市三圣乡</w:t>
                  </w:r>
                </w:p>
              </w:tc>
              <w:tc>
                <w:tcPr>
                  <w:tcW w:type="dxa" w:w="887"/>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花卉全产业链发展</w:t>
                  </w:r>
                </w:p>
              </w:tc>
            </w:tr>
            <w:tr>
              <w:tc>
                <w:tcPr>
                  <w:tcW w:type="dxa" w:w="220"/>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14</w:t>
                  </w:r>
                  <w:r>
                    <w:rPr>
                      <w:rFonts w:ascii="仿宋_GB2312" w:hAnsi="仿宋_GB2312" w:cs="仿宋_GB2312" w:eastAsia="仿宋_GB2312"/>
                      <w:sz w:val="22"/>
                      <w:color w:val="000000"/>
                    </w:rPr>
                    <w:t>:</w:t>
                  </w:r>
                  <w:r>
                    <w:rPr>
                      <w:rFonts w:ascii="仿宋_GB2312" w:hAnsi="仿宋_GB2312" w:cs="仿宋_GB2312" w:eastAsia="仿宋_GB2312"/>
                      <w:sz w:val="22"/>
                      <w:color w:val="000000"/>
                    </w:rPr>
                    <w:t>00</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p>
              </w:tc>
              <w:tc>
                <w:tcPr>
                  <w:tcW w:type="dxa" w:w="46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成都市大邑县智慧农业产业园、天府现代种业园</w:t>
                  </w:r>
                </w:p>
              </w:tc>
              <w:tc>
                <w:tcPr>
                  <w:tcW w:type="dxa" w:w="88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建成</w:t>
                  </w:r>
                  <w:r>
                    <w:rPr>
                      <w:rFonts w:ascii="仿宋_GB2312" w:hAnsi="仿宋_GB2312" w:cs="仿宋_GB2312" w:eastAsia="仿宋_GB2312"/>
                      <w:sz w:val="22"/>
                      <w:color w:val="000000"/>
                    </w:rPr>
                    <w:t>“吉时雨”数字农业服务平台，打造智慧农业应用场景，探索出一条数字技术赋能现代农业发展的实践路径；国家布局西南唯一的国家级种业园区</w:t>
                  </w:r>
                </w:p>
              </w:tc>
            </w:tr>
            <w:tr>
              <w:tc>
                <w:tcPr>
                  <w:tcW w:type="dxa" w:w="220"/>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第三天</w:t>
                  </w: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r>
                    <w:rPr>
                      <w:rFonts w:ascii="仿宋_GB2312" w:hAnsi="仿宋_GB2312" w:cs="仿宋_GB2312" w:eastAsia="仿宋_GB2312"/>
                      <w:sz w:val="22"/>
                      <w:color w:val="000000"/>
                    </w:rPr>
                    <w:t>00</w:t>
                  </w: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:00</w:t>
                  </w:r>
                </w:p>
              </w:tc>
              <w:tc>
                <w:tcPr>
                  <w:tcW w:type="dxa" w:w="46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天府现代种业园</w:t>
                  </w:r>
                </w:p>
              </w:tc>
              <w:tc>
                <w:tcPr>
                  <w:tcW w:type="dxa" w:w="88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国家布局西南卫衣的国家级种业园区</w:t>
                  </w:r>
                </w:p>
              </w:tc>
            </w:tr>
            <w:tr>
              <w:tc>
                <w:tcPr>
                  <w:tcW w:type="dxa" w:w="220"/>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14</w:t>
                  </w:r>
                  <w:r>
                    <w:rPr>
                      <w:rFonts w:ascii="仿宋_GB2312" w:hAnsi="仿宋_GB2312" w:cs="仿宋_GB2312" w:eastAsia="仿宋_GB2312"/>
                      <w:sz w:val="22"/>
                      <w:color w:val="000000"/>
                    </w:rPr>
                    <w:t>:</w:t>
                  </w:r>
                  <w:r>
                    <w:rPr>
                      <w:rFonts w:ascii="仿宋_GB2312" w:hAnsi="仿宋_GB2312" w:cs="仿宋_GB2312" w:eastAsia="仿宋_GB2312"/>
                      <w:sz w:val="22"/>
                      <w:color w:val="000000"/>
                    </w:rPr>
                    <w:t>00</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p>
              </w:tc>
              <w:tc>
                <w:tcPr>
                  <w:tcW w:type="dxa" w:w="46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成都市天府农博园</w:t>
                  </w:r>
                </w:p>
              </w:tc>
              <w:tc>
                <w:tcPr>
                  <w:tcW w:type="dxa" w:w="88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国家城乡融合发展试验区拓展区、国家农村产业融合发展示范园、四川省农业科技示范园区</w:t>
                  </w:r>
                </w:p>
              </w:tc>
            </w:tr>
            <w:tr>
              <w:tc>
                <w:tcPr>
                  <w:tcW w:type="dxa" w:w="220"/>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第四天</w:t>
                  </w: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9:00-12:00</w:t>
                  </w:r>
                </w:p>
              </w:tc>
              <w:tc>
                <w:tcPr>
                  <w:tcW w:type="dxa" w:w="46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成都市新都区泉印心都农民田间学校</w:t>
                  </w:r>
                </w:p>
              </w:tc>
              <w:tc>
                <w:tcPr>
                  <w:tcW w:type="dxa" w:w="88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稻乡渔歌田园综合体作为农民田间学校和农广校体系在基层的有效延伸，发挥着产业示范带动作用、培育高素质农民、推动乡村产业发展、促进乡村人才振兴的重要作用</w:t>
                  </w:r>
                </w:p>
              </w:tc>
            </w:tr>
            <w:tr>
              <w:tc>
                <w:tcPr>
                  <w:tcW w:type="dxa" w:w="220"/>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14</w:t>
                  </w:r>
                  <w:r>
                    <w:rPr>
                      <w:rFonts w:ascii="仿宋_GB2312" w:hAnsi="仿宋_GB2312" w:cs="仿宋_GB2312" w:eastAsia="仿宋_GB2312"/>
                      <w:sz w:val="22"/>
                      <w:color w:val="000000"/>
                    </w:rPr>
                    <w:t>:</w:t>
                  </w:r>
                  <w:r>
                    <w:rPr>
                      <w:rFonts w:ascii="仿宋_GB2312" w:hAnsi="仿宋_GB2312" w:cs="仿宋_GB2312" w:eastAsia="仿宋_GB2312"/>
                      <w:sz w:val="22"/>
                      <w:color w:val="000000"/>
                    </w:rPr>
                    <w:t>00</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p>
              </w:tc>
              <w:tc>
                <w:tcPr>
                  <w:tcW w:type="dxa" w:w="46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成都市崇州缘道家庭农场农民田间学校（示范家庭农场、全国共享农民田间学校）</w:t>
                  </w:r>
                </w:p>
              </w:tc>
              <w:tc>
                <w:tcPr>
                  <w:tcW w:type="dxa" w:w="88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观摩当地特色的农旅</w:t>
                  </w:r>
                  <w:r>
                    <w:rPr>
                      <w:rFonts w:ascii="仿宋_GB2312" w:hAnsi="仿宋_GB2312" w:cs="仿宋_GB2312" w:eastAsia="仿宋_GB2312"/>
                      <w:sz w:val="22"/>
                      <w:color w:val="000000"/>
                    </w:rPr>
                    <w:t>-研学农民田间学校，学习当地对农民田间学校的指导和支持，推动农民教育培训和农业产业发展深度融合的成功经验</w:t>
                  </w:r>
                </w:p>
              </w:tc>
            </w:tr>
            <w:tr>
              <w:tc>
                <w:tcPr>
                  <w:tcW w:type="dxa" w:w="220"/>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第五天</w:t>
                  </w: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r>
                    <w:rPr>
                      <w:rFonts w:ascii="仿宋_GB2312" w:hAnsi="仿宋_GB2312" w:cs="仿宋_GB2312" w:eastAsia="仿宋_GB2312"/>
                      <w:sz w:val="22"/>
                      <w:color w:val="000000"/>
                    </w:rPr>
                    <w:t>00</w:t>
                  </w: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:00</w:t>
                  </w:r>
                </w:p>
              </w:tc>
              <w:tc>
                <w:tcPr>
                  <w:tcW w:type="dxa" w:w="46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蒲江县电商产业园</w:t>
                  </w:r>
                </w:p>
                <w:p>
                  <w:pPr>
                    <w:pStyle w:val="null3"/>
                    <w:jc w:val="both"/>
                  </w:pPr>
                  <w:r>
                    <w:rPr>
                      <w:rFonts w:ascii="仿宋_GB2312" w:hAnsi="仿宋_GB2312" w:cs="仿宋_GB2312" w:eastAsia="仿宋_GB2312"/>
                      <w:sz w:val="22"/>
                      <w:color w:val="000000"/>
                    </w:rPr>
                    <w:t>蒲江县猕猴桃国际公园</w:t>
                  </w:r>
                </w:p>
              </w:tc>
              <w:tc>
                <w:tcPr>
                  <w:tcW w:type="dxa" w:w="88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国家电子商务进农村综合示范县；猕猴桃国际公园建成后将有效辐射和带动周边</w:t>
                  </w:r>
                  <w:r>
                    <w:rPr>
                      <w:rFonts w:ascii="仿宋_GB2312" w:hAnsi="仿宋_GB2312" w:cs="仿宋_GB2312" w:eastAsia="仿宋_GB2312"/>
                      <w:sz w:val="22"/>
                      <w:color w:val="000000"/>
                    </w:rPr>
                    <w:t>10万亩猕猴桃规模化、标准化、产业化发展</w:t>
                  </w:r>
                </w:p>
              </w:tc>
            </w:tr>
            <w:tr>
              <w:tc>
                <w:tcPr>
                  <w:tcW w:type="dxa" w:w="220"/>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14</w:t>
                  </w:r>
                  <w:r>
                    <w:rPr>
                      <w:rFonts w:ascii="仿宋_GB2312" w:hAnsi="仿宋_GB2312" w:cs="仿宋_GB2312" w:eastAsia="仿宋_GB2312"/>
                      <w:sz w:val="22"/>
                      <w:color w:val="000000"/>
                    </w:rPr>
                    <w:t>:</w:t>
                  </w:r>
                  <w:r>
                    <w:rPr>
                      <w:rFonts w:ascii="仿宋_GB2312" w:hAnsi="仿宋_GB2312" w:cs="仿宋_GB2312" w:eastAsia="仿宋_GB2312"/>
                      <w:sz w:val="22"/>
                      <w:color w:val="000000"/>
                    </w:rPr>
                    <w:t>00</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p>
              </w:tc>
              <w:tc>
                <w:tcPr>
                  <w:tcW w:type="dxa" w:w="46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蒲江县花田农场</w:t>
                  </w:r>
                </w:p>
              </w:tc>
              <w:tc>
                <w:tcPr>
                  <w:tcW w:type="dxa" w:w="88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国家级熟软的猕猴桃；一二三产融合民宿</w:t>
                  </w:r>
                </w:p>
              </w:tc>
            </w:tr>
            <w:tr>
              <w:tc>
                <w:tcPr>
                  <w:tcW w:type="dxa" w:w="220"/>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第六天</w:t>
                  </w: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r>
                    <w:rPr>
                      <w:rFonts w:ascii="仿宋_GB2312" w:hAnsi="仿宋_GB2312" w:cs="仿宋_GB2312" w:eastAsia="仿宋_GB2312"/>
                      <w:sz w:val="22"/>
                      <w:color w:val="000000"/>
                    </w:rPr>
                    <w:t>00</w:t>
                  </w: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:00</w:t>
                  </w:r>
                </w:p>
              </w:tc>
              <w:tc>
                <w:tcPr>
                  <w:tcW w:type="dxa" w:w="46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座谈交流</w:t>
                  </w:r>
                </w:p>
              </w:tc>
              <w:tc>
                <w:tcPr>
                  <w:tcW w:type="dxa" w:w="88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基于农民教育培训提升的观摩交流成果应用</w:t>
                  </w:r>
                </w:p>
              </w:tc>
            </w:tr>
            <w:tr>
              <w:tc>
                <w:tcPr>
                  <w:tcW w:type="dxa" w:w="220"/>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14</w:t>
                  </w:r>
                  <w:r>
                    <w:rPr>
                      <w:rFonts w:ascii="仿宋_GB2312" w:hAnsi="仿宋_GB2312" w:cs="仿宋_GB2312" w:eastAsia="仿宋_GB2312"/>
                      <w:sz w:val="22"/>
                      <w:color w:val="000000"/>
                    </w:rPr>
                    <w:t>:</w:t>
                  </w:r>
                  <w:r>
                    <w:rPr>
                      <w:rFonts w:ascii="仿宋_GB2312" w:hAnsi="仿宋_GB2312" w:cs="仿宋_GB2312" w:eastAsia="仿宋_GB2312"/>
                      <w:sz w:val="22"/>
                      <w:color w:val="000000"/>
                    </w:rPr>
                    <w:t>00</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p>
              </w:tc>
              <w:tc>
                <w:tcPr>
                  <w:tcW w:type="dxa" w:w="1349"/>
                  <w:gridSpan w:val="2"/>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返程</w:t>
                  </w:r>
                </w:p>
              </w:tc>
            </w:tr>
          </w:tbl>
          <w:p>
            <w:pPr>
              <w:pStyle w:val="null3"/>
              <w:jc w:val="left"/>
            </w:pPr>
            <w:r>
              <w:rPr>
                <w:rFonts w:ascii="仿宋_GB2312" w:hAnsi="仿宋_GB2312" w:cs="仿宋_GB2312" w:eastAsia="仿宋_GB2312"/>
                <w:sz w:val="22"/>
                <w:color w:val="000000"/>
              </w:rPr>
              <w:t>注：课程内容可能根据实际情况稍作调整。</w:t>
            </w:r>
          </w:p>
          <w:p>
            <w:pPr>
              <w:pStyle w:val="null3"/>
              <w:jc w:val="left"/>
            </w:pPr>
            <w:r>
              <w:rPr>
                <w:rFonts w:ascii="仿宋_GB2312" w:hAnsi="仿宋_GB2312" w:cs="仿宋_GB2312" w:eastAsia="仿宋_GB2312"/>
                <w:sz w:val="22"/>
              </w:rPr>
              <w:t>（二）师资能力提升暨培育工作推进培</w:t>
            </w:r>
            <w:r>
              <w:rPr>
                <w:rFonts w:ascii="仿宋_GB2312" w:hAnsi="仿宋_GB2312" w:cs="仿宋_GB2312" w:eastAsia="仿宋_GB2312"/>
                <w:sz w:val="22"/>
              </w:rPr>
              <w:t>训</w:t>
            </w:r>
            <w:r>
              <w:rPr>
                <w:rFonts w:ascii="仿宋_GB2312" w:hAnsi="仿宋_GB2312" w:cs="仿宋_GB2312" w:eastAsia="仿宋_GB2312"/>
                <w:sz w:val="22"/>
              </w:rPr>
              <w:t>日程</w:t>
            </w:r>
            <w:r>
              <w:rPr>
                <w:rFonts w:ascii="仿宋_GB2312" w:hAnsi="仿宋_GB2312" w:cs="仿宋_GB2312" w:eastAsia="仿宋_GB2312"/>
                <w:sz w:val="22"/>
              </w:rPr>
              <w:t>安排</w:t>
            </w:r>
          </w:p>
          <w:tbl>
            <w:tblPr>
              <w:tblInd w:type="dxa" w:w="135"/>
              <w:tblBorders>
                <w:top w:val="none" w:color="000000" w:sz="4"/>
                <w:left w:val="none" w:color="000000" w:sz="4"/>
                <w:bottom w:val="none" w:color="000000" w:sz="4"/>
                <w:right w:val="none" w:color="000000" w:sz="4"/>
                <w:insideH w:val="none"/>
                <w:insideV w:val="none"/>
              </w:tblBorders>
            </w:tblPr>
            <w:tblGrid>
              <w:gridCol w:w="338"/>
              <w:gridCol w:w="413"/>
              <w:gridCol w:w="1107"/>
            </w:tblGrid>
            <w:tr>
              <w:tc>
                <w:tcPr>
                  <w:tcW w:type="dxa" w:w="338"/>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b/>
                      <w:color w:val="000000"/>
                    </w:rPr>
                    <w:t>日期</w:t>
                  </w:r>
                </w:p>
              </w:tc>
              <w:tc>
                <w:tcPr>
                  <w:tcW w:type="dxa" w:w="413"/>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b/>
                      <w:color w:val="000000"/>
                    </w:rPr>
                    <w:t>时间</w:t>
                  </w:r>
                </w:p>
              </w:tc>
              <w:tc>
                <w:tcPr>
                  <w:tcW w:type="dxa" w:w="1107"/>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b/>
                      <w:color w:val="000000"/>
                    </w:rPr>
                    <w:t>培训安排</w:t>
                  </w:r>
                </w:p>
              </w:tc>
            </w:tr>
            <w:tr>
              <w:tc>
                <w:tcPr>
                  <w:tcW w:type="dxa" w:w="338"/>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第一天</w:t>
                  </w:r>
                </w:p>
              </w:tc>
              <w:tc>
                <w:tcPr>
                  <w:tcW w:type="dxa" w:w="413"/>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9:00-12:00</w:t>
                  </w:r>
                </w:p>
              </w:tc>
              <w:tc>
                <w:tcPr>
                  <w:tcW w:type="dxa" w:w="110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rPr>
                    <w:t>报到</w:t>
                  </w:r>
                </w:p>
              </w:tc>
            </w:tr>
            <w:tr>
              <w:tc>
                <w:tcPr>
                  <w:tcW w:type="dxa" w:w="338"/>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14:00-18:00</w:t>
                  </w:r>
                </w:p>
              </w:tc>
              <w:tc>
                <w:tcPr>
                  <w:tcW w:type="dxa" w:w="110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rPr>
                    <w:t>专题讲授：乡村振兴与新质生产力</w:t>
                  </w:r>
                </w:p>
              </w:tc>
            </w:tr>
            <w:tr>
              <w:tc>
                <w:tcPr>
                  <w:tcW w:type="dxa" w:w="338"/>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第二天</w:t>
                  </w:r>
                </w:p>
              </w:tc>
              <w:tc>
                <w:tcPr>
                  <w:tcW w:type="dxa" w:w="413"/>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9:00-11:30</w:t>
                  </w:r>
                </w:p>
              </w:tc>
              <w:tc>
                <w:tcPr>
                  <w:tcW w:type="dxa" w:w="110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rPr>
                    <w:t>破冰融合：团队拓展</w:t>
                  </w:r>
                </w:p>
              </w:tc>
            </w:tr>
            <w:tr>
              <w:tc>
                <w:tcPr>
                  <w:tcW w:type="dxa" w:w="338"/>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14:30-18:00</w:t>
                  </w:r>
                </w:p>
              </w:tc>
              <w:tc>
                <w:tcPr>
                  <w:tcW w:type="dxa" w:w="110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专题讲授：培育项目管理与申报</w:t>
                  </w:r>
                </w:p>
              </w:tc>
            </w:tr>
            <w:tr>
              <w:tc>
                <w:tcPr>
                  <w:tcW w:type="dxa" w:w="338"/>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第三天</w:t>
                  </w:r>
                </w:p>
              </w:tc>
              <w:tc>
                <w:tcPr>
                  <w:tcW w:type="dxa" w:w="413"/>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9:00-12:00</w:t>
                  </w:r>
                </w:p>
              </w:tc>
              <w:tc>
                <w:tcPr>
                  <w:tcW w:type="dxa" w:w="110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现场教学：渭南</w:t>
                  </w:r>
                </w:p>
              </w:tc>
            </w:tr>
            <w:tr>
              <w:tc>
                <w:tcPr>
                  <w:tcW w:type="dxa" w:w="338"/>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14:</w:t>
                  </w:r>
                  <w:r>
                    <w:rPr>
                      <w:rFonts w:ascii="仿宋_GB2312" w:hAnsi="仿宋_GB2312" w:cs="仿宋_GB2312" w:eastAsia="仿宋_GB2312"/>
                      <w:sz w:val="22"/>
                      <w:color w:val="000000"/>
                    </w:rPr>
                    <w:t>3</w:t>
                  </w:r>
                  <w:r>
                    <w:rPr>
                      <w:rFonts w:ascii="仿宋_GB2312" w:hAnsi="仿宋_GB2312" w:cs="仿宋_GB2312" w:eastAsia="仿宋_GB2312"/>
                      <w:sz w:val="22"/>
                      <w:color w:val="000000"/>
                    </w:rPr>
                    <w:t>0-1</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p>
              </w:tc>
              <w:tc>
                <w:tcPr>
                  <w:tcW w:type="dxa" w:w="110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现场观摩：咸阳</w:t>
                  </w:r>
                </w:p>
              </w:tc>
            </w:tr>
            <w:tr>
              <w:tc>
                <w:tcPr>
                  <w:tcW w:type="dxa" w:w="338"/>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第四天</w:t>
                  </w:r>
                </w:p>
              </w:tc>
              <w:tc>
                <w:tcPr>
                  <w:tcW w:type="dxa" w:w="413"/>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r>
                    <w:rPr>
                      <w:rFonts w:ascii="仿宋_GB2312" w:hAnsi="仿宋_GB2312" w:cs="仿宋_GB2312" w:eastAsia="仿宋_GB2312"/>
                      <w:sz w:val="22"/>
                      <w:color w:val="000000"/>
                    </w:rPr>
                    <w:t>00</w:t>
                  </w: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:00</w:t>
                  </w:r>
                </w:p>
              </w:tc>
              <w:tc>
                <w:tcPr>
                  <w:tcW w:type="dxa" w:w="110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rPr>
                    <w:t>培育工作推进及研讨交流</w:t>
                  </w:r>
                </w:p>
              </w:tc>
            </w:tr>
            <w:tr>
              <w:tc>
                <w:tcPr>
                  <w:tcW w:type="dxa" w:w="338"/>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14</w:t>
                  </w:r>
                  <w:r>
                    <w:rPr>
                      <w:rFonts w:ascii="仿宋_GB2312" w:hAnsi="仿宋_GB2312" w:cs="仿宋_GB2312" w:eastAsia="仿宋_GB2312"/>
                      <w:sz w:val="22"/>
                      <w:color w:val="000000"/>
                    </w:rPr>
                    <w:t>:</w:t>
                  </w:r>
                  <w:r>
                    <w:rPr>
                      <w:rFonts w:ascii="仿宋_GB2312" w:hAnsi="仿宋_GB2312" w:cs="仿宋_GB2312" w:eastAsia="仿宋_GB2312"/>
                      <w:sz w:val="22"/>
                      <w:color w:val="000000"/>
                    </w:rPr>
                    <w:t>00</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p>
              </w:tc>
              <w:tc>
                <w:tcPr>
                  <w:tcW w:type="dxa" w:w="110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返程</w:t>
                  </w:r>
                </w:p>
              </w:tc>
            </w:tr>
          </w:tbl>
          <w:p>
            <w:pPr>
              <w:pStyle w:val="null3"/>
              <w:jc w:val="left"/>
            </w:pPr>
            <w:r>
              <w:rPr>
                <w:rFonts w:ascii="仿宋_GB2312" w:hAnsi="仿宋_GB2312" w:cs="仿宋_GB2312" w:eastAsia="仿宋_GB2312"/>
                <w:sz w:val="22"/>
                <w:color w:val="000000"/>
              </w:rPr>
              <w:t>注：课程内容可能根据实际情况稍作调整。</w:t>
            </w:r>
          </w:p>
          <w:p>
            <w:pPr>
              <w:pStyle w:val="null3"/>
              <w:jc w:val="both"/>
            </w:pPr>
            <w:r>
              <w:rPr>
                <w:rFonts w:ascii="仿宋_GB2312" w:hAnsi="仿宋_GB2312" w:cs="仿宋_GB2312" w:eastAsia="仿宋_GB2312"/>
                <w:sz w:val="22"/>
              </w:rPr>
              <w:t>（三）高素质农民素养提升培训</w:t>
            </w:r>
            <w:r>
              <w:rPr>
                <w:rFonts w:ascii="仿宋_GB2312" w:hAnsi="仿宋_GB2312" w:cs="仿宋_GB2312" w:eastAsia="仿宋_GB2312"/>
                <w:sz w:val="22"/>
              </w:rPr>
              <w:t>日程</w:t>
            </w:r>
            <w:r>
              <w:rPr>
                <w:rFonts w:ascii="仿宋_GB2312" w:hAnsi="仿宋_GB2312" w:cs="仿宋_GB2312" w:eastAsia="仿宋_GB2312"/>
                <w:sz w:val="22"/>
              </w:rPr>
              <w:t>安排</w:t>
            </w:r>
          </w:p>
          <w:tbl>
            <w:tblPr>
              <w:tblInd w:type="dxa" w:w="135"/>
              <w:tblBorders>
                <w:top w:val="none" w:color="000000" w:sz="4"/>
                <w:left w:val="none" w:color="000000" w:sz="4"/>
                <w:bottom w:val="none" w:color="000000" w:sz="4"/>
                <w:right w:val="none" w:color="000000" w:sz="4"/>
                <w:insideH w:val="none"/>
                <w:insideV w:val="none"/>
              </w:tblBorders>
            </w:tblPr>
            <w:tblGrid>
              <w:gridCol w:w="304"/>
              <w:gridCol w:w="439"/>
              <w:gridCol w:w="1117"/>
            </w:tblGrid>
            <w:tr>
              <w:tc>
                <w:tcPr>
                  <w:tcW w:type="dxa" w:w="743"/>
                  <w:gridSpan w:val="2"/>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b/>
                      <w:color w:val="000000"/>
                    </w:rPr>
                    <w:t>时</w:t>
                  </w:r>
                  <w:r>
                    <w:rPr>
                      <w:rFonts w:ascii="仿宋_GB2312" w:hAnsi="仿宋_GB2312" w:cs="仿宋_GB2312" w:eastAsia="仿宋_GB2312"/>
                      <w:sz w:val="22"/>
                      <w:b/>
                      <w:color w:val="000000"/>
                    </w:rPr>
                    <w:t xml:space="preserve">  </w:t>
                  </w:r>
                  <w:r>
                    <w:rPr>
                      <w:rFonts w:ascii="仿宋_GB2312" w:hAnsi="仿宋_GB2312" w:cs="仿宋_GB2312" w:eastAsia="仿宋_GB2312"/>
                      <w:sz w:val="22"/>
                      <w:b/>
                      <w:color w:val="000000"/>
                    </w:rPr>
                    <w:t>间</w:t>
                  </w:r>
                </w:p>
              </w:tc>
              <w:tc>
                <w:tcPr>
                  <w:tcW w:type="dxa" w:w="1117"/>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b/>
                      <w:color w:val="000000"/>
                    </w:rPr>
                    <w:t>内</w:t>
                  </w:r>
                  <w:r>
                    <w:rPr>
                      <w:rFonts w:ascii="仿宋_GB2312" w:hAnsi="仿宋_GB2312" w:cs="仿宋_GB2312" w:eastAsia="仿宋_GB2312"/>
                      <w:sz w:val="22"/>
                      <w:b/>
                      <w:color w:val="000000"/>
                    </w:rPr>
                    <w:t xml:space="preserve">  </w:t>
                  </w:r>
                  <w:r>
                    <w:rPr>
                      <w:rFonts w:ascii="仿宋_GB2312" w:hAnsi="仿宋_GB2312" w:cs="仿宋_GB2312" w:eastAsia="仿宋_GB2312"/>
                      <w:sz w:val="22"/>
                      <w:b/>
                      <w:color w:val="000000"/>
                    </w:rPr>
                    <w:t>容</w:t>
                  </w:r>
                </w:p>
              </w:tc>
            </w:tr>
            <w:tr>
              <w:tc>
                <w:tcPr>
                  <w:tcW w:type="dxa" w:w="304"/>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第一天</w:t>
                  </w:r>
                </w:p>
              </w:tc>
              <w:tc>
                <w:tcPr>
                  <w:tcW w:type="dxa" w:w="439"/>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18:00前</w:t>
                  </w:r>
                </w:p>
              </w:tc>
              <w:tc>
                <w:tcPr>
                  <w:tcW w:type="dxa" w:w="1117"/>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报到</w:t>
                  </w:r>
                </w:p>
              </w:tc>
            </w:tr>
            <w:tr>
              <w:tc>
                <w:tcPr>
                  <w:tcW w:type="dxa" w:w="304"/>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第二天</w:t>
                  </w:r>
                </w:p>
              </w:tc>
              <w:tc>
                <w:tcPr>
                  <w:tcW w:type="dxa" w:w="439"/>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9:00-12:00</w:t>
                  </w:r>
                </w:p>
              </w:tc>
              <w:tc>
                <w:tcPr>
                  <w:tcW w:type="dxa" w:w="111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前沿聚焦：从田间到云端</w:t>
                  </w:r>
                  <w:r>
                    <w:rPr>
                      <w:rFonts w:ascii="仿宋_GB2312" w:hAnsi="仿宋_GB2312" w:cs="仿宋_GB2312" w:eastAsia="仿宋_GB2312"/>
                      <w:sz w:val="22"/>
                      <w:color w:val="000000"/>
                    </w:rPr>
                    <w:t>-AI助力现代农业</w:t>
                  </w:r>
                </w:p>
              </w:tc>
            </w:tr>
            <w:tr>
              <w:tc>
                <w:tcPr>
                  <w:tcW w:type="dxa" w:w="304"/>
                  <w:vMerge/>
                  <w:tcBorders>
                    <w:top w:val="none" w:color="000000" w:sz="4"/>
                    <w:left w:val="single" w:color="000000" w:sz="4"/>
                    <w:bottom w:val="single" w:color="000000" w:sz="4"/>
                    <w:right w:val="single" w:color="000000" w:sz="4"/>
                  </w:tcBorders>
                </w:tcPr>
                <w:p/>
              </w:tc>
              <w:tc>
                <w:tcPr>
                  <w:tcW w:type="dxa" w:w="439"/>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14:00-18:00</w:t>
                  </w:r>
                </w:p>
              </w:tc>
              <w:tc>
                <w:tcPr>
                  <w:tcW w:type="dxa" w:w="111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专题讲授：未来农业变革与中国式农业现代化</w:t>
                  </w:r>
                </w:p>
              </w:tc>
            </w:tr>
            <w:tr>
              <w:tc>
                <w:tcPr>
                  <w:tcW w:type="dxa" w:w="304"/>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第三天</w:t>
                  </w:r>
                </w:p>
              </w:tc>
              <w:tc>
                <w:tcPr>
                  <w:tcW w:type="dxa" w:w="439"/>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9:00-12:00</w:t>
                  </w:r>
                </w:p>
              </w:tc>
              <w:tc>
                <w:tcPr>
                  <w:tcW w:type="dxa" w:w="111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经验交流：都市农业发展典型模式探讨</w:t>
                  </w:r>
                </w:p>
              </w:tc>
            </w:tr>
            <w:tr>
              <w:tc>
                <w:tcPr>
                  <w:tcW w:type="dxa" w:w="304"/>
                  <w:vMerge/>
                  <w:tcBorders>
                    <w:top w:val="none" w:color="000000" w:sz="4"/>
                    <w:left w:val="single" w:color="000000" w:sz="4"/>
                    <w:bottom w:val="single" w:color="000000" w:sz="4"/>
                    <w:right w:val="single" w:color="000000" w:sz="4"/>
                  </w:tcBorders>
                </w:tcPr>
                <w:p/>
              </w:tc>
              <w:tc>
                <w:tcPr>
                  <w:tcW w:type="dxa" w:w="439"/>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2"/>
                      <w:color w:val="000000"/>
                    </w:rPr>
                    <w:t>14:00-18:00</w:t>
                  </w:r>
                </w:p>
              </w:tc>
              <w:tc>
                <w:tcPr>
                  <w:tcW w:type="dxa" w:w="1117"/>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2"/>
                      <w:color w:val="000000"/>
                    </w:rPr>
                    <w:t>返程</w:t>
                  </w:r>
                </w:p>
              </w:tc>
            </w:tr>
          </w:tbl>
          <w:p>
            <w:pPr>
              <w:pStyle w:val="null3"/>
              <w:jc w:val="both"/>
            </w:pPr>
            <w:r>
              <w:rPr>
                <w:rFonts w:ascii="仿宋_GB2312" w:hAnsi="仿宋_GB2312" w:cs="仿宋_GB2312" w:eastAsia="仿宋_GB2312"/>
                <w:sz w:val="22"/>
                <w:color w:val="000000"/>
              </w:rPr>
              <w:t>注：课程内容可能根据实际情况稍作调整。</w:t>
            </w:r>
          </w:p>
          <w:p>
            <w:pPr>
              <w:pStyle w:val="null3"/>
              <w:jc w:val="both"/>
            </w:pPr>
            <w:r>
              <w:rPr>
                <w:rFonts w:ascii="仿宋_GB2312" w:hAnsi="仿宋_GB2312" w:cs="仿宋_GB2312" w:eastAsia="仿宋_GB2312"/>
                <w:sz w:val="22"/>
              </w:rPr>
              <w:t>（四）高素质农民技能大赛日程</w:t>
            </w:r>
            <w:r>
              <w:rPr>
                <w:rFonts w:ascii="仿宋_GB2312" w:hAnsi="仿宋_GB2312" w:cs="仿宋_GB2312" w:eastAsia="仿宋_GB2312"/>
                <w:sz w:val="22"/>
              </w:rPr>
              <w:t>安排</w:t>
            </w:r>
          </w:p>
          <w:p>
            <w:pPr>
              <w:pStyle w:val="null3"/>
              <w:ind w:firstLine="440"/>
              <w:jc w:val="both"/>
            </w:pPr>
            <w:r>
              <w:rPr>
                <w:rFonts w:ascii="仿宋_GB2312" w:hAnsi="仿宋_GB2312" w:cs="仿宋_GB2312" w:eastAsia="仿宋_GB2312"/>
                <w:sz w:val="22"/>
              </w:rPr>
              <w:t>高素质农民技能大赛</w:t>
            </w:r>
            <w:r>
              <w:rPr>
                <w:rFonts w:ascii="仿宋_GB2312" w:hAnsi="仿宋_GB2312" w:cs="仿宋_GB2312" w:eastAsia="仿宋_GB2312"/>
                <w:sz w:val="22"/>
              </w:rPr>
              <w:t>活动分为赛前技术培训和技能大赛两部分内容。其中第一天是技能提升培训；第二天举办技能大赛，具体流程和要求详见后期正式确定后的技能大赛实施方案。</w:t>
            </w:r>
          </w:p>
          <w:p>
            <w:pPr>
              <w:pStyle w:val="null3"/>
              <w:ind w:firstLine="440"/>
              <w:jc w:val="both"/>
            </w:pPr>
            <w:r>
              <w:rPr>
                <w:rFonts w:ascii="仿宋_GB2312" w:hAnsi="仿宋_GB2312" w:cs="仿宋_GB2312" w:eastAsia="仿宋_GB2312"/>
                <w:sz w:val="22"/>
              </w:rPr>
              <w:t>六、组织实施</w:t>
            </w:r>
          </w:p>
          <w:p>
            <w:pPr>
              <w:pStyle w:val="null3"/>
              <w:ind w:firstLine="440"/>
              <w:jc w:val="both"/>
            </w:pPr>
            <w:r>
              <w:rPr>
                <w:rFonts w:ascii="仿宋_GB2312" w:hAnsi="仿宋_GB2312" w:cs="仿宋_GB2312" w:eastAsia="仿宋_GB2312"/>
                <w:sz w:val="22"/>
              </w:rPr>
              <w:t>1.成立培训工作领导小组，负责培训工作的统筹协调。</w:t>
            </w:r>
          </w:p>
          <w:p>
            <w:pPr>
              <w:pStyle w:val="null3"/>
              <w:ind w:firstLine="440"/>
              <w:jc w:val="both"/>
            </w:pPr>
            <w:r>
              <w:rPr>
                <w:rFonts w:ascii="仿宋_GB2312" w:hAnsi="仿宋_GB2312" w:cs="仿宋_GB2312" w:eastAsia="仿宋_GB2312"/>
                <w:sz w:val="22"/>
              </w:rPr>
              <w:t>2.明确小组各成员的职责分工，确保培训工作顺利进行。</w:t>
            </w:r>
          </w:p>
          <w:p>
            <w:pPr>
              <w:pStyle w:val="null3"/>
              <w:ind w:firstLine="440"/>
              <w:jc w:val="both"/>
            </w:pPr>
            <w:r>
              <w:rPr>
                <w:rFonts w:ascii="仿宋_GB2312" w:hAnsi="仿宋_GB2312" w:cs="仿宋_GB2312" w:eastAsia="仿宋_GB2312"/>
                <w:sz w:val="22"/>
              </w:rPr>
              <w:t>3.制定详细的培训计划和日程安排，严格按照计划组织实施。</w:t>
            </w:r>
          </w:p>
          <w:p>
            <w:pPr>
              <w:pStyle w:val="null3"/>
              <w:ind w:firstLine="440"/>
              <w:jc w:val="both"/>
            </w:pPr>
            <w:r>
              <w:rPr>
                <w:rFonts w:ascii="仿宋_GB2312" w:hAnsi="仿宋_GB2312" w:cs="仿宋_GB2312" w:eastAsia="仿宋_GB2312"/>
                <w:sz w:val="22"/>
              </w:rPr>
              <w:t>七、保障措施</w:t>
            </w:r>
          </w:p>
          <w:p>
            <w:pPr>
              <w:pStyle w:val="null3"/>
              <w:ind w:firstLine="440"/>
              <w:jc w:val="both"/>
            </w:pPr>
            <w:r>
              <w:rPr>
                <w:rFonts w:ascii="仿宋_GB2312" w:hAnsi="仿宋_GB2312" w:cs="仿宋_GB2312" w:eastAsia="仿宋_GB2312"/>
                <w:sz w:val="22"/>
              </w:rPr>
              <w:t>1.强化培训考核机制：对学员学习情况进行考评。</w:t>
            </w:r>
          </w:p>
          <w:p>
            <w:pPr>
              <w:pStyle w:val="null3"/>
              <w:ind w:firstLine="440"/>
              <w:jc w:val="both"/>
            </w:pPr>
            <w:r>
              <w:rPr>
                <w:rFonts w:ascii="仿宋_GB2312" w:hAnsi="仿宋_GB2312" w:cs="仿宋_GB2312" w:eastAsia="仿宋_GB2312"/>
                <w:sz w:val="22"/>
              </w:rPr>
              <w:t>2.落实培训经费：加强培训经费的管理和监督，确保专款专用，提高资金使用效益。</w:t>
            </w:r>
          </w:p>
          <w:p>
            <w:pPr>
              <w:pStyle w:val="null3"/>
              <w:ind w:firstLine="440"/>
              <w:jc w:val="both"/>
            </w:pPr>
            <w:r>
              <w:rPr>
                <w:rFonts w:ascii="仿宋_GB2312" w:hAnsi="仿宋_GB2312" w:cs="仿宋_GB2312" w:eastAsia="仿宋_GB2312"/>
                <w:sz w:val="22"/>
              </w:rPr>
              <w:t>3.做好宣传引导：充分利用报纸、电视、网络、自媒体等各种媒体，广泛宣传培训成效，营造尊农爱农的良好氛围。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2025年3月至2025年6月20日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1、达到国家法律规范要求或相关行业标准，通过省、市检查验收合格，及省级部门项目绩效考核。 2、验收依据：合同文本、磋商文件和磋商响应文件。 3、验收实施细则：在严格出勤管理确保培训质效的基础上，在项目验收中设立了两条考核标准。一是对学员:对于全勤学时总数＞60（单位：学时）的培训班（注：全天学时不超10学时，其中白天可计8学时，晚间可计2学时；个人出勤学时比率=个人出勤学时数*100%/全勤学时总数），其个人出勤学时比率&lt;50%的，不得认定为学员，不予补助；50%≤个人出勤学时&lt;75%学时，认定为学员，但是按照个人的标准75%降档补助;个人出勤学时≥75%时，可认定为学员，可享受全额补助；对于个人出勤学时≤60的培训班，其个人出勤学时不到80%的，不得认定为学员，不予补助;个人出勤学时达到80%，可认定为学员，可享受补助。二是对班级整体出勤率作了严格限定。以班为单位计算，每个培训班整体出勤率必须达到90%，否则不得通过验收。其整体出勤率按照认定学员的学时累计数/(认定学员数x全勤学时数)计算。达不到90%标准的，培训机构需安排整体补课或者压减认定学员人数，直到达到90%的要求。 4、验收不合格处理措施： （1）首次验收未通过的，责令培训机构在15个工作日内完成整改，整改期间产生的费用由培训机构自行承担；整改完成后，按照第七条进行验收。 （2）对弄虚作假、伪造考勤记录等严重违规行为：立即终止合同并追回已拨付资金；纳入政府采购失信黑名单；依法追究培训机构法律责任； （3）因验收不合格导致的补助资金缺口，由培训机构自行解决。</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合同签订后，支付合同金额的50%。项目完成后，成立验收小组进行验收，验收通过后支付合同金额的50%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合同签订后，支付合同金额的50%。项目完成后，成立验收小组进行验收，验收通过后支付合同金额的50%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1、若一方不能履行合同义务，出现重大违约，则另一方可以书面通知方式单方面终止本合同，并可要求赔偿损失。 2、除上述规定之情形外，提供培训过程中如果没有对方的书面同意，一方不能提前解除合同。如果未经对方同意解除合同，其应当支付合同暂定金额百分之一的违约金。 3、如因乙方没有履行本合同相关义务以及条款对甲方造成损失的由乙方负全部责任。 4、合同一方违约的，对方应积极采取适当措施阻止损失扩大，否则不得就扩大部分的损失要求赔偿；违约方应当承担守约方为阻止损失扩大而支付的合理费用。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 或自然人，并出具合法有效的营业执照或事业 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提供具有财务审计资质单位出具的2022年度或 2023年度财务报告（成立时间至开标时间不足 一年的可提供成立后任意时段的资产负债表）或开标前六个月内其基本账户银行出具的资信 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提供参加政府采购活动前三年内在 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被授权人参与投标时需提供法定代表人或负责 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不得为失信被执行人</w:t>
            </w:r>
          </w:p>
        </w:tc>
        <w:tc>
          <w:tcPr>
            <w:tcW w:type="dxa" w:w="3322"/>
          </w:tcPr>
          <w:p>
            <w:pPr>
              <w:pStyle w:val="null3"/>
            </w:pPr>
            <w:r>
              <w:rPr>
                <w:rFonts w:ascii="仿宋_GB2312" w:hAnsi="仿宋_GB2312" w:cs="仿宋_GB2312" w:eastAsia="仿宋_GB2312"/>
              </w:rPr>
              <w:t>投标人不得为“信用中国” 网站（www.creditc hina.gov.cn）中列入失信被执行人和重大税收 违法案件当事人名单的投标人，不得为中国政府采购网（www.ccgp.gov.cn）政府采购严重违法失信行为记录名单中被财政部门禁止参加政府采购活动的投标人；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 控股、管理关系的不同投标人，不得参加同一合同项下的政府采购活动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 关系的不同投标人，不得参加同一合同项下的 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本项目专门面向小微企业</w:t>
            </w:r>
          </w:p>
        </w:tc>
        <w:tc>
          <w:tcPr>
            <w:tcW w:type="dxa" w:w="3322"/>
          </w:tcPr>
          <w:p>
            <w:pPr>
              <w:pStyle w:val="null3"/>
            </w:pPr>
            <w:r>
              <w:rPr>
                <w:rFonts w:ascii="仿宋_GB2312" w:hAnsi="仿宋_GB2312" w:cs="仿宋_GB2312" w:eastAsia="仿宋_GB2312"/>
              </w:rPr>
              <w:t>本项目专门面向小微企业（提供声明函或承诺书）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投标人认为有必要补充说明的事宜.docx 商务应答表 服务方案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对项目的了解程度</w:t>
            </w:r>
          </w:p>
        </w:tc>
        <w:tc>
          <w:tcPr>
            <w:tcW w:type="dxa" w:w="2492"/>
          </w:tcPr>
          <w:p>
            <w:pPr>
              <w:pStyle w:val="null3"/>
            </w:pPr>
            <w:r>
              <w:rPr>
                <w:rFonts w:ascii="仿宋_GB2312" w:hAnsi="仿宋_GB2312" w:cs="仿宋_GB2312" w:eastAsia="仿宋_GB2312"/>
              </w:rPr>
              <w:t>根据供应商对本项目的理解程度综合对比打分，从目标、工作任务等方面进行描述，全面深入了解项目情况，完全满足磋商文件要求计（10-15］分；比较了解项目情况，基本满足磋商文件要求计（5-10］分；表述不完整，对项目理解不足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磋商文件的要求针对本项目制定的实施方案，方案内容包括但不限于实施流程、工作计划、工作进度、等内容。磋商小组根据响应内容的专业性、科学性进行横向比较，能在完全理解项目要求的基础上方案编制思路较清晰具有科学可行的计（10-15］分；方案编制思路较清晰，能保证项目实施的计（5-10］分；方案编制思路偏离项目计（0-5］分；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项目需求提供培训方案，方案应包含培训形式及流程、培训的具体日期及人数、培训内容及配套服务等各项工作及具体措施。方案完整、合理、可行，满足项目需求，计（10-15］分；方案较完整，有可行性，基本满足项目需求，计（5-10］分；方案可行性、合理性较差，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根据供应商针对本项目提供的质量控制方案进行综合评审，内容包含但不限于：①质量保障制度；②成果质量验收措施等。 内容完整、健全、完善可得（10-15］分； 内容较为完整、健全、完善可得（5-10］分； 内容不够完整、健全、完善可得（0-5］分。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组织机构设置合理，管理人员及技术人员配备数量充足、人员职责明确、分工、相关项目实施经验丰富。通过综合比较：组织机构明确、人员配备充足得（7-10］分； 组织机构较为明确、人员配备较充足得（4-7］分； 组织机构不够明确、人员配备不充足得（0-4］分；（无内容不得分）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2021年1月1日起至今具有类似业绩每有一项得1分，最多得6分；业绩附有对应宣传报道得1分，最多4分。 备注：以提供的合同或中标通知书或项目业务委托单及相关证明材料并加盖单位公章的复印件为准。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针对本项目实际情况，提出合理化建议。通过综合比较合理行及可行性，内容完整、健全、完善可得（4-5］分； 内容较为完整、健全、完善可得（2-4］分； 内容不够完整、健全、完善可得（1-2］分。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合格率</w:t>
            </w:r>
          </w:p>
        </w:tc>
        <w:tc>
          <w:tcPr>
            <w:tcW w:type="dxa" w:w="2492"/>
          </w:tcPr>
          <w:p>
            <w:pPr>
              <w:pStyle w:val="null3"/>
            </w:pPr>
            <w:r>
              <w:rPr>
                <w:rFonts w:ascii="仿宋_GB2312" w:hAnsi="仿宋_GB2312" w:cs="仿宋_GB2312" w:eastAsia="仿宋_GB2312"/>
              </w:rPr>
              <w:t>供应商针对本项目有培训特色或成效的介绍及措施，并提供可靠全面的合格率的保障承诺。培训成效好，合格率高有保障措施计（3-5］分；保障措施一般，计（0-3］分。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满足招标文件且报价最低的价格为评标基准价，其价格分为满分10分，其他各投标人的报价按下列计算公式计算：（Y/X）*10=Z X=投标价，Y=基准价，Z=报价得分；报价不完整的，得0分。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详见附件：服务合同最终.docx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