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2541FC">
      <w:pPr>
        <w:bidi w:val="0"/>
        <w:spacing w:line="360" w:lineRule="auto"/>
        <w:jc w:val="center"/>
        <w:rPr>
          <w:rFonts w:hint="eastAsia"/>
        </w:rPr>
      </w:pPr>
      <w:r>
        <w:rPr>
          <w:rFonts w:hint="eastAsia"/>
          <w:sz w:val="32"/>
          <w:szCs w:val="32"/>
        </w:rPr>
        <w:t>项目人员配备</w:t>
      </w:r>
    </w:p>
    <w:p w14:paraId="4AE83041">
      <w:r>
        <w:rPr>
          <w:rFonts w:hint="eastAsia"/>
          <w:sz w:val="36"/>
          <w:szCs w:val="36"/>
        </w:rPr>
        <w:t>供应商结合自身情况，可根据第三章及评审办法自行编写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051D9A"/>
    <w:rsid w:val="3705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2025-03-11T07:02:00Z</dcterms:created>
  <dc:creator>C</dc:creator>
  <cp:lastModifiedBy>C</cp:lastModifiedBy>
  <dcterms:modified xsi:type="dcterms:W3CDTF">2025-03-11T07:02:42Z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FE18F1FCB5DC415BAB5C23D23B2B1ED2_11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