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4E995">
      <w:pPr>
        <w:pStyle w:val="4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报价说明</w:t>
      </w:r>
    </w:p>
    <w:p w14:paraId="332BC27C">
      <w:pPr>
        <w:pStyle w:val="4"/>
        <w:bidi w:val="0"/>
        <w:ind w:firstLine="562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采购项目报价为两年服务期内总包干价，供应商报价只需报出总价，实际支付方式与合同付款方式保持一致。手术器械预计年工作量为采购人在一定期限内的使用量，供应商可参考清单，结合自身情况给于最终报价。手术器械清单报价不可超过最高限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75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2025-03-11T07:37:45Z</dcterms:created>
  <dc:creator>Administrator</dc:creator>
  <cp:lastModifiedBy>C</cp:lastModifiedBy>
  <dcterms:modified xsi:type="dcterms:W3CDTF">2025-03-11T07:40:24Z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eyJoZGlkIjoiNTE3NmI2MDc4MTQyZGIzY2Y2NmZjMzUwMjExYzI2NjMiLCJ1c2VySWQiOiI0MTcxMzMxNTAifQ==</vt:lpwstr>
  </property>
  <property fmtid="{D5CDD505-2E9C-101B-9397-08002B2CF9AE}" pid="4" name="ICV">
    <vt:lpwstr>524061AFFA4542969418DB3B5564E8D6_12</vt:lpwstr>
  </property>
</Properties>
</file>