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版本号：ZY2025-ZB-CS101020250311001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2025年“西安文旅”抖音、视频号运营提升项目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ZY2025-ZB-CS1010</w:t>
      </w:r>
      <w:r>
        <w:br/>
      </w:r>
      <w:r>
        <w:br/>
      </w:r>
      <w:r>
        <w:br/>
      </w:r>
    </w:p>
    <w:p>
      <w:pPr>
        <w:pStyle w:val="null3"/>
        <w:jc w:val="center"/>
        <w:outlineLvl w:val="2"/>
      </w:pPr>
      <w:r>
        <w:rPr>
          <w:rFonts w:ascii="仿宋_GB2312" w:hAnsi="仿宋_GB2312" w:cs="仿宋_GB2312" w:eastAsia="仿宋_GB2312"/>
          <w:sz w:val="28"/>
          <w:b/>
        </w:rPr>
        <w:t>西安市旅游信息咨询中心</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西安市旅游信息咨询中心</w:t>
      </w:r>
      <w:r>
        <w:rPr>
          <w:rFonts w:ascii="仿宋_GB2312" w:hAnsi="仿宋_GB2312" w:cs="仿宋_GB2312" w:eastAsia="仿宋_GB2312"/>
        </w:rPr>
        <w:t>委托，拟对</w:t>
      </w:r>
      <w:r>
        <w:rPr>
          <w:rFonts w:ascii="仿宋_GB2312" w:hAnsi="仿宋_GB2312" w:cs="仿宋_GB2312" w:eastAsia="仿宋_GB2312"/>
        </w:rPr>
        <w:t>2025年“西安文旅”抖音、视频号运营提升项目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2025年“西安文旅”抖音、视频号运营提升项目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2025年“西安文旅 ”抖音、视频号运营提升项目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采购包1（2025年“西安文旅 ”抖音、视频号运营提升项目）：属于专门面向中小企业采购。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3、税收缴纳证明：提供2024年9月至今已缴纳的至少一个月的纳税证明（时间以税款所属日期为准)，依法免税的单位应提供相关证明材料。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5、书面声明：提供具有履行本合同所必需的设备和专业技术能力的书面声明及承诺。</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8、授权委托书：法定代表人授权委托书、被授权人身份证（法定代表人参加磋商时,只需提供法定代表人身份证）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西安市旅游信息咨询中心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029-89623276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格为基数，依据国家计委颁布《招标代理服务收费管理暂行办法》（计价格[2002]1980号）和国家发展改革委员会办公厅颁发的《关于招标代理服务收费有关问题的通知》（发改办价格[2003]857号）文件规定执行；不足8000.00元按8000.00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西安市旅游信息咨询中心</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西安市旅游信息咨询中心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西安市旅游信息咨询中心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联系人：徐超</w:t>
      </w:r>
    </w:p>
    <w:p>
      <w:pPr>
        <w:pStyle w:val="null3"/>
      </w:pPr>
      <w:r>
        <w:rPr>
          <w:rFonts w:ascii="仿宋_GB2312" w:hAnsi="仿宋_GB2312" w:cs="仿宋_GB2312" w:eastAsia="仿宋_GB2312"/>
        </w:rPr>
        <w:t>联系电话：029-86210100转803</w:t>
      </w:r>
    </w:p>
    <w:p>
      <w:pPr>
        <w:pStyle w:val="null3"/>
      </w:pPr>
      <w:r>
        <w:rPr>
          <w:rFonts w:ascii="仿宋_GB2312" w:hAnsi="仿宋_GB2312" w:cs="仿宋_GB2312" w:eastAsia="仿宋_GB2312"/>
        </w:rPr>
        <w:t>地址：陕西省西安市未央区西安经济技术开发区凤城一路6号利君V时代B座901室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积极适应市民游客偏好的转变，充分利用抖音、微信视频号等短视频平台的传播优势，做好西安文化旅游品牌形象传播，打造“西安文旅”优质新媒体账号矩阵，形成影响力和传播力。项目目标包括：1.根据2025年全市文旅工作计划，策划、拍摄、制作能够反映西安文旅形象的短视频，实现“西安文旅”抖音、视频号平台账号内容的优质运营并打造爆款视频；2.通过数字化信息流推广及账号引流等方式实现账号粉丝、播放量及点赞量的稳步增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2025年“西安文旅”抖音、视频号运营提升项目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标的名称：2025年“西安文旅”抖音、视频号运营提升项目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2025年“西安文旅 ”抖音、视频号运营提升项目技术要求</w:t>
            </w:r>
          </w:p>
        </w:tc>
        <w:tc>
          <w:tcPr>
            <w:tcW w:type="dxa" w:w="2076"/>
          </w:tcPr>
          <w:p>
            <w:pPr>
              <w:pStyle w:val="null3"/>
              <w:ind w:left="-90"/>
            </w:pPr>
            <w:r>
              <w:rPr>
                <w:rFonts w:ascii="仿宋_GB2312" w:hAnsi="仿宋_GB2312" w:cs="仿宋_GB2312" w:eastAsia="仿宋_GB2312"/>
                <w:sz w:val="24"/>
                <w:b/>
                <w:color w:val="0A82E5"/>
                <w:shd w:fill="FFFFFF" w:val="clear"/>
              </w:rPr>
              <w:t>一、项目概况</w:t>
            </w:r>
          </w:p>
          <w:p>
            <w:pPr>
              <w:pStyle w:val="null3"/>
              <w:ind w:left="-90"/>
            </w:pPr>
            <w:r>
              <w:rPr>
                <w:rFonts w:ascii="仿宋_GB2312" w:hAnsi="仿宋_GB2312" w:cs="仿宋_GB2312" w:eastAsia="仿宋_GB2312"/>
                <w:sz w:val="24"/>
                <w:color w:val="0A82E5"/>
                <w:shd w:fill="FFFFFF" w:val="clear"/>
              </w:rPr>
              <w:t>为积极适应市民游客偏好的转变，充分利用抖音、微信视频号等短视频平台的传播优势，做好西安文化旅游品牌形象传播，打造</w:t>
            </w:r>
            <w:r>
              <w:rPr>
                <w:rFonts w:ascii="仿宋_GB2312" w:hAnsi="仿宋_GB2312" w:cs="仿宋_GB2312" w:eastAsia="仿宋_GB2312"/>
                <w:sz w:val="24"/>
                <w:color w:val="0A82E5"/>
                <w:shd w:fill="FFFFFF" w:val="clear"/>
              </w:rPr>
              <w:t>“西安文旅”优质新媒体账号矩阵，形成影响力和传播力。项目目标包括：1.根据2025年全市文旅工作计划，策划、拍摄、制作能够反映西安文旅形象的短视频，实现“西安文旅”抖音、视频号平台账号内容的优质运营并打造爆款视频；2.通过数字化信息流推广及账号引流等方式实现账号粉丝、播放量及点赞量的稳步增长。</w:t>
            </w:r>
          </w:p>
          <w:p>
            <w:pPr>
              <w:pStyle w:val="null3"/>
              <w:ind w:left="-90"/>
            </w:pPr>
            <w:r>
              <w:rPr>
                <w:rFonts w:ascii="仿宋_GB2312" w:hAnsi="仿宋_GB2312" w:cs="仿宋_GB2312" w:eastAsia="仿宋_GB2312"/>
                <w:sz w:val="24"/>
                <w:b/>
                <w:color w:val="0A82E5"/>
                <w:shd w:fill="FFFFFF" w:val="clear"/>
              </w:rPr>
              <w:t>二、服务内容</w:t>
            </w:r>
          </w:p>
          <w:p>
            <w:pPr>
              <w:pStyle w:val="null3"/>
              <w:ind w:left="-90"/>
            </w:pPr>
            <w:r>
              <w:rPr>
                <w:rFonts w:ascii="仿宋_GB2312" w:hAnsi="仿宋_GB2312" w:cs="仿宋_GB2312" w:eastAsia="仿宋_GB2312"/>
                <w:sz w:val="24"/>
                <w:color w:val="0A82E5"/>
                <w:shd w:fill="FFFFFF" w:val="clear"/>
              </w:rPr>
              <w:t>1.做好日常短视频内容生产。全年系统化规划视频拍摄制作计划，实现西安文旅短视频平台常态化运营与流量的稳固增长，有效提升西安文旅影响力。</w:t>
            </w:r>
          </w:p>
          <w:p>
            <w:pPr>
              <w:pStyle w:val="null3"/>
              <w:ind w:left="-90"/>
            </w:pPr>
            <w:r>
              <w:rPr>
                <w:rFonts w:ascii="仿宋_GB2312" w:hAnsi="仿宋_GB2312" w:cs="仿宋_GB2312" w:eastAsia="仿宋_GB2312"/>
                <w:sz w:val="24"/>
                <w:color w:val="0A82E5"/>
                <w:shd w:fill="FFFFFF" w:val="clear"/>
              </w:rPr>
              <w:t>2.打造超级话题。依托西安2024年底以来上新的全新文旅新地标、景区新项目以及其他文旅热点，策划以“玩转新西安”或“西安游玩新地标”等为参考的文旅热门网络营销件，项目结束后各主流新媒体平台话题总播放量不低于1个亿。</w:t>
            </w:r>
          </w:p>
          <w:p>
            <w:pPr>
              <w:pStyle w:val="null3"/>
              <w:ind w:left="-90"/>
            </w:pPr>
            <w:r>
              <w:rPr>
                <w:rFonts w:ascii="仿宋_GB2312" w:hAnsi="仿宋_GB2312" w:cs="仿宋_GB2312" w:eastAsia="仿宋_GB2312"/>
                <w:sz w:val="24"/>
                <w:color w:val="0A82E5"/>
                <w:shd w:fill="FFFFFF" w:val="clear"/>
              </w:rPr>
              <w:t>3.聚焦文旅市场热点。锚定五一、国庆、春节等重要节假日以及“初雪”等临时紧急文旅热点，派出视频采编团队深入文旅市场一线，实时采集西安全域景区、景点的人气场景视频资料，并按要求及时制作成快剪视频宣发，进一步拓展西安文旅市场的关注度。</w:t>
            </w:r>
          </w:p>
          <w:p>
            <w:pPr>
              <w:pStyle w:val="null3"/>
              <w:ind w:left="-90"/>
            </w:pPr>
            <w:r>
              <w:rPr>
                <w:rFonts w:ascii="仿宋_GB2312" w:hAnsi="仿宋_GB2312" w:cs="仿宋_GB2312" w:eastAsia="仿宋_GB2312"/>
                <w:sz w:val="24"/>
                <w:color w:val="0A82E5"/>
                <w:shd w:fill="FFFFFF" w:val="clear"/>
              </w:rPr>
              <w:t>4.策划拍摄能提高西安城市形象的文旅视频。关注景区、酒店、文化场馆、演出演艺等文旅单位的同时，关注交通、安全、天气等文旅相关信息，及时拍摄制作短视频并进行传播。</w:t>
            </w:r>
          </w:p>
          <w:p>
            <w:pPr>
              <w:pStyle w:val="null3"/>
              <w:ind w:left="-90"/>
            </w:pPr>
            <w:r>
              <w:rPr>
                <w:rFonts w:ascii="仿宋_GB2312" w:hAnsi="仿宋_GB2312" w:cs="仿宋_GB2312" w:eastAsia="仿宋_GB2312"/>
                <w:sz w:val="24"/>
                <w:b/>
                <w:color w:val="0A82E5"/>
                <w:shd w:fill="FFFFFF" w:val="clear"/>
              </w:rPr>
              <w:t>三、服务要求及业绩要求</w:t>
            </w:r>
          </w:p>
          <w:p>
            <w:pPr>
              <w:pStyle w:val="null3"/>
              <w:ind w:left="-90"/>
            </w:pPr>
            <w:r>
              <w:rPr>
                <w:rFonts w:ascii="仿宋_GB2312" w:hAnsi="仿宋_GB2312" w:cs="仿宋_GB2312" w:eastAsia="仿宋_GB2312"/>
                <w:sz w:val="24"/>
                <w:color w:val="0A82E5"/>
                <w:shd w:fill="FFFFFF" w:val="clear"/>
              </w:rPr>
              <w:t>1质量要求。原创视频为4K高清，像素为3840×2160。</w:t>
            </w:r>
          </w:p>
          <w:p>
            <w:pPr>
              <w:pStyle w:val="null3"/>
              <w:ind w:left="-90"/>
            </w:pPr>
            <w:r>
              <w:rPr>
                <w:rFonts w:ascii="仿宋_GB2312" w:hAnsi="仿宋_GB2312" w:cs="仿宋_GB2312" w:eastAsia="仿宋_GB2312"/>
                <w:sz w:val="24"/>
                <w:color w:val="0A82E5"/>
                <w:shd w:fill="FFFFFF" w:val="clear"/>
              </w:rPr>
              <w:t>普通编辑制作类视频像素不低于</w:t>
            </w:r>
            <w:r>
              <w:rPr>
                <w:rFonts w:ascii="仿宋_GB2312" w:hAnsi="仿宋_GB2312" w:cs="仿宋_GB2312" w:eastAsia="仿宋_GB2312"/>
                <w:sz w:val="24"/>
                <w:color w:val="0A82E5"/>
                <w:shd w:fill="FFFFFF" w:val="clear"/>
              </w:rPr>
              <w:t>1920×1080。</w:t>
            </w:r>
          </w:p>
          <w:p>
            <w:pPr>
              <w:pStyle w:val="null3"/>
              <w:ind w:left="-90"/>
            </w:pPr>
            <w:r>
              <w:rPr>
                <w:rFonts w:ascii="仿宋_GB2312" w:hAnsi="仿宋_GB2312" w:cs="仿宋_GB2312" w:eastAsia="仿宋_GB2312"/>
                <w:sz w:val="24"/>
                <w:color w:val="0A82E5"/>
                <w:shd w:fill="FFFFFF" w:val="clear"/>
              </w:rPr>
              <w:t>2.业绩要求。全年生产优质短视频不少于220条，其中</w:t>
            </w:r>
          </w:p>
          <w:p>
            <w:pPr>
              <w:pStyle w:val="null3"/>
              <w:ind w:left="-90"/>
            </w:pPr>
            <w:r>
              <w:rPr>
                <w:rFonts w:ascii="仿宋_GB2312" w:hAnsi="仿宋_GB2312" w:cs="仿宋_GB2312" w:eastAsia="仿宋_GB2312"/>
                <w:sz w:val="24"/>
                <w:color w:val="0A82E5"/>
                <w:shd w:fill="FFFFFF" w:val="clear"/>
              </w:rPr>
              <w:t>原创视频不少于</w:t>
            </w:r>
            <w:r>
              <w:rPr>
                <w:rFonts w:ascii="仿宋_GB2312" w:hAnsi="仿宋_GB2312" w:cs="仿宋_GB2312" w:eastAsia="仿宋_GB2312"/>
                <w:sz w:val="24"/>
                <w:color w:val="0A82E5"/>
                <w:shd w:fill="FFFFFF" w:val="clear"/>
              </w:rPr>
              <w:t>72条。进入本地话题热榜（包括本地热榜）不少于10次，全年至少培育 25个爆款视频（单条短视频播放量超过10万+)。全年视频累计点赞量不低于100万次。</w:t>
            </w:r>
          </w:p>
          <w:p>
            <w:pPr>
              <w:pStyle w:val="null3"/>
              <w:ind w:left="-90"/>
            </w:pPr>
            <w:r>
              <w:rPr>
                <w:rFonts w:ascii="仿宋_GB2312" w:hAnsi="仿宋_GB2312" w:cs="仿宋_GB2312" w:eastAsia="仿宋_GB2312"/>
                <w:sz w:val="24"/>
                <w:color w:val="0A82E5"/>
                <w:shd w:fill="FFFFFF" w:val="clear"/>
              </w:rPr>
              <w:t>3.账号运营。由甲方负责新媒体矩阵账号的运营管理工</w:t>
            </w:r>
          </w:p>
          <w:p>
            <w:pPr>
              <w:pStyle w:val="null3"/>
              <w:ind w:left="-90"/>
            </w:pPr>
            <w:r>
              <w:rPr>
                <w:rFonts w:ascii="仿宋_GB2312" w:hAnsi="仿宋_GB2312" w:cs="仿宋_GB2312" w:eastAsia="仿宋_GB2312"/>
                <w:sz w:val="24"/>
                <w:color w:val="0A82E5"/>
                <w:shd w:fill="FFFFFF" w:val="clear"/>
              </w:rPr>
              <w:t>作，要求乙方安排专职人员对</w:t>
            </w:r>
            <w:r>
              <w:rPr>
                <w:rFonts w:ascii="仿宋_GB2312" w:hAnsi="仿宋_GB2312" w:cs="仿宋_GB2312" w:eastAsia="仿宋_GB2312"/>
                <w:sz w:val="24"/>
                <w:color w:val="0A82E5"/>
                <w:shd w:fill="FFFFFF" w:val="clear"/>
              </w:rPr>
              <w:t>“西安文旅”视频号、“西安文旅”抖音号两个账号进行常态化的辅助运营和监管，共同确保账号安全稳定，建立24小时数据监测和应急响应机制，涉及到账号安全和重大负面信息问题，应第一时间发现并协同处置。</w:t>
            </w:r>
          </w:p>
          <w:p>
            <w:pPr>
              <w:pStyle w:val="null3"/>
              <w:ind w:left="-90"/>
            </w:pPr>
            <w:r>
              <w:rPr>
                <w:rFonts w:ascii="仿宋_GB2312" w:hAnsi="仿宋_GB2312" w:cs="仿宋_GB2312" w:eastAsia="仿宋_GB2312"/>
                <w:sz w:val="24"/>
                <w:color w:val="0A82E5"/>
                <w:shd w:fill="FFFFFF" w:val="clear"/>
              </w:rPr>
              <w:t>4.粉丝增长。项目结束后，“西安文旅”抖音号粉丝</w:t>
            </w:r>
          </w:p>
          <w:p>
            <w:pPr>
              <w:pStyle w:val="null3"/>
              <w:ind w:left="-90"/>
            </w:pPr>
            <w:r>
              <w:rPr>
                <w:rFonts w:ascii="仿宋_GB2312" w:hAnsi="仿宋_GB2312" w:cs="仿宋_GB2312" w:eastAsia="仿宋_GB2312"/>
                <w:sz w:val="24"/>
                <w:color w:val="0A82E5"/>
                <w:shd w:fill="FFFFFF" w:val="clear"/>
              </w:rPr>
              <w:t>增长量不低于</w:t>
            </w:r>
            <w:r>
              <w:rPr>
                <w:rFonts w:ascii="仿宋_GB2312" w:hAnsi="仿宋_GB2312" w:cs="仿宋_GB2312" w:eastAsia="仿宋_GB2312"/>
                <w:sz w:val="24"/>
                <w:color w:val="0A82E5"/>
                <w:shd w:fill="FFFFFF" w:val="clear"/>
              </w:rPr>
              <w:t>20%，视频号粉丝增长量不低于50%。</w:t>
            </w:r>
          </w:p>
          <w:p>
            <w:pPr>
              <w:pStyle w:val="null3"/>
              <w:ind w:left="-90"/>
            </w:pPr>
            <w:r>
              <w:rPr>
                <w:rFonts w:ascii="仿宋_GB2312" w:hAnsi="仿宋_GB2312" w:cs="仿宋_GB2312" w:eastAsia="仿宋_GB2312"/>
                <w:sz w:val="24"/>
                <w:color w:val="0A82E5"/>
                <w:shd w:fill="FFFFFF" w:val="clear"/>
              </w:rPr>
              <w:t>5.版权要求。乙方承诺本合同项下的全部素材、图片、</w:t>
            </w:r>
          </w:p>
          <w:p>
            <w:pPr>
              <w:pStyle w:val="null3"/>
              <w:ind w:left="-90"/>
            </w:pPr>
            <w:r>
              <w:rPr>
                <w:rFonts w:ascii="仿宋_GB2312" w:hAnsi="仿宋_GB2312" w:cs="仿宋_GB2312" w:eastAsia="仿宋_GB2312"/>
                <w:sz w:val="24"/>
                <w:color w:val="0A82E5"/>
                <w:shd w:fill="FFFFFF" w:val="clear"/>
              </w:rPr>
              <w:t>字体和视频均属于原创，若发生素材、图片、字体和视频的版权侵权由乙方负责处理并赔偿，若因此甲方被第三方起诉赔偿的，甲方有权向乙方追偿。甲方享有所有因本合同而获得的原创性信息及信息素材的著作权，乙方未经甲方书面同意不得挪为第三方使用。</w:t>
            </w:r>
          </w:p>
          <w:p>
            <w:pPr>
              <w:pStyle w:val="null3"/>
              <w:ind w:left="-90"/>
            </w:pPr>
            <w:r>
              <w:rPr>
                <w:rFonts w:ascii="仿宋_GB2312" w:hAnsi="仿宋_GB2312" w:cs="仿宋_GB2312" w:eastAsia="仿宋_GB2312"/>
                <w:sz w:val="24"/>
                <w:color w:val="0A82E5"/>
                <w:shd w:fill="FFFFFF" w:val="clear"/>
              </w:rPr>
              <w:t>6</w:t>
            </w:r>
            <w:r>
              <w:rPr>
                <w:rFonts w:ascii="仿宋_GB2312" w:hAnsi="仿宋_GB2312" w:cs="仿宋_GB2312" w:eastAsia="仿宋_GB2312"/>
                <w:sz w:val="24"/>
                <w:color w:val="0A82E5"/>
                <w:shd w:fill="FFFFFF" w:val="clear"/>
              </w:rPr>
              <w:t>.</w:t>
            </w:r>
            <w:r>
              <w:rPr>
                <w:rFonts w:ascii="仿宋_GB2312" w:hAnsi="仿宋_GB2312" w:cs="仿宋_GB2312" w:eastAsia="仿宋_GB2312"/>
                <w:sz w:val="24"/>
                <w:color w:val="0A82E5"/>
                <w:shd w:fill="FFFFFF" w:val="clear"/>
              </w:rPr>
              <w:t>服务团队及资源配置</w:t>
            </w:r>
          </w:p>
          <w:p>
            <w:pPr>
              <w:pStyle w:val="null3"/>
              <w:ind w:left="-90"/>
            </w:pPr>
            <w:r>
              <w:rPr>
                <w:rFonts w:ascii="仿宋_GB2312" w:hAnsi="仿宋_GB2312" w:cs="仿宋_GB2312" w:eastAsia="仿宋_GB2312"/>
                <w:sz w:val="24"/>
                <w:color w:val="0A82E5"/>
                <w:shd w:fill="FFFFFF" w:val="clear"/>
              </w:rPr>
              <w:t>供应商应配备不少于</w:t>
            </w:r>
            <w:r>
              <w:rPr>
                <w:rFonts w:ascii="仿宋_GB2312" w:hAnsi="仿宋_GB2312" w:cs="仿宋_GB2312" w:eastAsia="仿宋_GB2312"/>
                <w:sz w:val="24"/>
                <w:color w:val="0A82E5"/>
                <w:shd w:fill="FFFFFF" w:val="clear"/>
              </w:rPr>
              <w:t>8人的项目团队人员，并选用符合项目要求有能力的人员。至少包括项目负责人、音视频拍摄、剪辑制作、平面设计、文案编辑、内容校审、数据推广等。</w:t>
            </w:r>
          </w:p>
          <w:p>
            <w:pPr>
              <w:pStyle w:val="null3"/>
              <w:ind w:left="-90"/>
            </w:pPr>
            <w:r>
              <w:rPr>
                <w:rFonts w:ascii="仿宋_GB2312" w:hAnsi="仿宋_GB2312" w:cs="仿宋_GB2312" w:eastAsia="仿宋_GB2312"/>
                <w:sz w:val="24"/>
                <w:color w:val="0A82E5"/>
                <w:shd w:fill="FFFFFF" w:val="clear"/>
              </w:rPr>
              <w:t>供应商应自行备专业型、齐全的视频拍摄设备清单，包括但不限于以下内容：</w:t>
            </w:r>
          </w:p>
          <w:tbl>
            <w:tblPr>
              <w:tblBorders>
                <w:top w:val="none" w:color="000000" w:sz="4"/>
                <w:left w:val="none" w:color="000000" w:sz="4"/>
                <w:bottom w:val="none" w:color="000000" w:sz="4"/>
                <w:right w:val="none" w:color="000000" w:sz="4"/>
                <w:insideH w:val="none"/>
                <w:insideV w:val="none"/>
              </w:tblBorders>
            </w:tblPr>
            <w:tblGrid>
              <w:gridCol w:w="323"/>
              <w:gridCol w:w="369"/>
              <w:gridCol w:w="803"/>
              <w:gridCol w:w="365"/>
            </w:tblGrid>
            <w:tr>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序号</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类别</w:t>
                  </w:r>
                </w:p>
              </w:tc>
              <w:tc>
                <w:tcPr>
                  <w:tcW w:type="dxa" w:w="8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职能分工</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数量</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1</w:t>
                  </w:r>
                </w:p>
              </w:tc>
              <w:tc>
                <w:tcPr>
                  <w:tcW w:type="dxa" w:w="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人员</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项目</w:t>
                  </w:r>
                  <w:r>
                    <w:rPr>
                      <w:rFonts w:ascii="仿宋_GB2312" w:hAnsi="仿宋_GB2312" w:cs="仿宋_GB2312" w:eastAsia="仿宋_GB2312"/>
                      <w:sz w:val="24"/>
                      <w:color w:val="0A82E5"/>
                      <w:shd w:fill="FFFFFF" w:val="clear"/>
                    </w:rPr>
                    <w:t>负责人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1人</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2</w:t>
                  </w:r>
                </w:p>
              </w:tc>
              <w:tc>
                <w:tcPr>
                  <w:tcW w:type="dxa" w:w="369"/>
                  <w:vMerge/>
                  <w:tcBorders>
                    <w:top w:val="none" w:color="000000" w:sz="4"/>
                    <w:left w:val="none" w:color="000000" w:sz="4"/>
                    <w:bottom w:val="single" w:color="000000" w:sz="4"/>
                    <w:right w:val="single" w:color="000000" w:sz="4"/>
                  </w:tcBorders>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视频拍摄制作类人员</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至少</w:t>
                  </w:r>
                  <w:r>
                    <w:rPr>
                      <w:rFonts w:ascii="仿宋_GB2312" w:hAnsi="仿宋_GB2312" w:cs="仿宋_GB2312" w:eastAsia="仿宋_GB2312"/>
                      <w:sz w:val="24"/>
                      <w:color w:val="0A82E5"/>
                      <w:shd w:fill="FFFFFF" w:val="clear"/>
                    </w:rPr>
                    <w:t>4人</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3</w:t>
                  </w:r>
                </w:p>
              </w:tc>
              <w:tc>
                <w:tcPr>
                  <w:tcW w:type="dxa" w:w="369"/>
                  <w:vMerge/>
                  <w:tcBorders>
                    <w:top w:val="none" w:color="000000" w:sz="4"/>
                    <w:left w:val="none" w:color="000000" w:sz="4"/>
                    <w:bottom w:val="single" w:color="000000" w:sz="4"/>
                    <w:right w:val="single" w:color="000000" w:sz="4"/>
                  </w:tcBorders>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文案、策划、校审人员（主要负责撰稿、策划、编辑、校审等工作）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至少</w:t>
                  </w:r>
                  <w:r>
                    <w:rPr>
                      <w:rFonts w:ascii="仿宋_GB2312" w:hAnsi="仿宋_GB2312" w:cs="仿宋_GB2312" w:eastAsia="仿宋_GB2312"/>
                      <w:sz w:val="24"/>
                      <w:color w:val="0A82E5"/>
                      <w:shd w:fill="FFFFFF" w:val="clear"/>
                    </w:rPr>
                    <w:t>2人</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4</w:t>
                  </w:r>
                </w:p>
              </w:tc>
              <w:tc>
                <w:tcPr>
                  <w:tcW w:type="dxa" w:w="369"/>
                  <w:vMerge/>
                  <w:tcBorders>
                    <w:top w:val="none" w:color="000000" w:sz="4"/>
                    <w:left w:val="none" w:color="000000" w:sz="4"/>
                    <w:bottom w:val="single" w:color="000000" w:sz="4"/>
                    <w:right w:val="single" w:color="000000" w:sz="4"/>
                  </w:tcBorders>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设计、推广类人员</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至少</w:t>
                  </w:r>
                  <w:r>
                    <w:rPr>
                      <w:rFonts w:ascii="仿宋_GB2312" w:hAnsi="仿宋_GB2312" w:cs="仿宋_GB2312" w:eastAsia="仿宋_GB2312"/>
                      <w:sz w:val="24"/>
                      <w:color w:val="0A82E5"/>
                      <w:shd w:fill="FFFFFF" w:val="clear"/>
                    </w:rPr>
                    <w:t>1人</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5</w:t>
                  </w:r>
                </w:p>
              </w:tc>
              <w:tc>
                <w:tcPr>
                  <w:tcW w:type="dxa" w:w="3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设备</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全画幅摄像机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至少</w:t>
                  </w:r>
                  <w:r>
                    <w:rPr>
                      <w:rFonts w:ascii="仿宋_GB2312" w:hAnsi="仿宋_GB2312" w:cs="仿宋_GB2312" w:eastAsia="仿宋_GB2312"/>
                      <w:sz w:val="24"/>
                      <w:color w:val="0A82E5"/>
                      <w:shd w:fill="FFFFFF" w:val="clear"/>
                    </w:rPr>
                    <w:t>2</w:t>
                  </w:r>
                  <w:r>
                    <w:rPr>
                      <w:rFonts w:ascii="仿宋_GB2312" w:hAnsi="仿宋_GB2312" w:cs="仿宋_GB2312" w:eastAsia="仿宋_GB2312"/>
                      <w:sz w:val="24"/>
                      <w:color w:val="0A82E5"/>
                      <w:shd w:fill="FFFFFF" w:val="clear"/>
                    </w:rPr>
                    <w:t>组</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6</w:t>
                  </w:r>
                </w:p>
              </w:tc>
              <w:tc>
                <w:tcPr>
                  <w:tcW w:type="dxa" w:w="369"/>
                  <w:vMerge/>
                  <w:tcBorders>
                    <w:top w:val="none" w:color="000000" w:sz="4"/>
                    <w:left w:val="none" w:color="000000" w:sz="4"/>
                    <w:bottom w:val="single" w:color="000000" w:sz="4"/>
                    <w:right w:val="single" w:color="000000" w:sz="4"/>
                  </w:tcBorders>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定变焦摄像机镜头</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至少</w:t>
                  </w:r>
                  <w:r>
                    <w:rPr>
                      <w:rFonts w:ascii="仿宋_GB2312" w:hAnsi="仿宋_GB2312" w:cs="仿宋_GB2312" w:eastAsia="仿宋_GB2312"/>
                      <w:sz w:val="24"/>
                      <w:color w:val="0A82E5"/>
                      <w:shd w:fill="FFFFFF" w:val="clear"/>
                    </w:rPr>
                    <w:t>6</w:t>
                  </w:r>
                  <w:r>
                    <w:rPr>
                      <w:rFonts w:ascii="仿宋_GB2312" w:hAnsi="仿宋_GB2312" w:cs="仿宋_GB2312" w:eastAsia="仿宋_GB2312"/>
                      <w:sz w:val="24"/>
                      <w:color w:val="0A82E5"/>
                      <w:shd w:fill="FFFFFF" w:val="clear"/>
                    </w:rPr>
                    <w:t>个</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7</w:t>
                  </w:r>
                </w:p>
              </w:tc>
              <w:tc>
                <w:tcPr>
                  <w:tcW w:type="dxa" w:w="369"/>
                  <w:vMerge/>
                  <w:tcBorders>
                    <w:top w:val="none" w:color="000000" w:sz="4"/>
                    <w:left w:val="none" w:color="000000" w:sz="4"/>
                    <w:bottom w:val="single" w:color="000000" w:sz="4"/>
                    <w:right w:val="single" w:color="000000" w:sz="4"/>
                  </w:tcBorders>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无线麦克风收声设备</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满足项目服务需求</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8</w:t>
                  </w:r>
                </w:p>
              </w:tc>
              <w:tc>
                <w:tcPr>
                  <w:tcW w:type="dxa" w:w="369"/>
                  <w:vMerge/>
                  <w:tcBorders>
                    <w:top w:val="none" w:color="000000" w:sz="4"/>
                    <w:left w:val="none" w:color="000000" w:sz="4"/>
                    <w:bottom w:val="single" w:color="000000" w:sz="4"/>
                    <w:right w:val="single" w:color="000000" w:sz="4"/>
                  </w:tcBorders>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专业影视系列运动相机</w:t>
                  </w:r>
                </w:p>
              </w:tc>
              <w:tc>
                <w:tcPr>
                  <w:tcW w:type="dxa" w:w="365"/>
                  <w:vMerge/>
                  <w:tcBorders>
                    <w:top w:val="none" w:color="000000" w:sz="4"/>
                    <w:left w:val="none" w:color="000000" w:sz="4"/>
                    <w:bottom w:val="single" w:color="000000" w:sz="4"/>
                    <w:right w:val="single" w:color="000000" w:sz="4"/>
                  </w:tcBorders>
                </w:tcP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9</w:t>
                  </w:r>
                </w:p>
              </w:tc>
              <w:tc>
                <w:tcPr>
                  <w:tcW w:type="dxa" w:w="369"/>
                  <w:vMerge/>
                  <w:tcBorders>
                    <w:top w:val="none" w:color="000000" w:sz="4"/>
                    <w:left w:val="none" w:color="000000" w:sz="4"/>
                    <w:bottom w:val="single" w:color="000000" w:sz="4"/>
                    <w:right w:val="single" w:color="000000" w:sz="4"/>
                  </w:tcBorders>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rFonts w:ascii="仿宋_GB2312" w:hAnsi="仿宋_GB2312" w:cs="仿宋_GB2312" w:eastAsia="仿宋_GB2312"/>
                      <w:sz w:val="24"/>
                      <w:color w:val="0A82E5"/>
                      <w:shd w:fill="FFFFFF" w:val="clear"/>
                    </w:rPr>
                    <w:t>航拍无人机等设备</w:t>
                  </w:r>
                </w:p>
              </w:tc>
              <w:tc>
                <w:tcPr>
                  <w:tcW w:type="dxa" w:w="365"/>
                  <w:vMerge/>
                  <w:tcBorders>
                    <w:top w:val="none" w:color="000000" w:sz="4"/>
                    <w:left w:val="none" w:color="000000" w:sz="4"/>
                    <w:bottom w:val="single" w:color="000000" w:sz="4"/>
                    <w:right w:val="single" w:color="000000" w:sz="4"/>
                  </w:tcBorders>
                </w:tcPr>
                <w:p/>
              </w:tc>
            </w:tr>
          </w:tbl>
          <w:p>
            <w:pPr>
              <w:pStyle w:val="null3"/>
              <w:ind w:left="-90"/>
            </w:pPr>
            <w:r>
              <w:rPr>
                <w:rFonts w:ascii="仿宋_GB2312" w:hAnsi="仿宋_GB2312" w:cs="仿宋_GB2312" w:eastAsia="仿宋_GB2312"/>
                <w:sz w:val="24"/>
                <w:color w:val="0A82E5"/>
                <w:shd w:fill="FFFFFF" w:val="clear"/>
              </w:rPr>
              <w:t>四、</w:t>
            </w:r>
            <w:r>
              <w:rPr>
                <w:rFonts w:ascii="仿宋_GB2312" w:hAnsi="仿宋_GB2312" w:cs="仿宋_GB2312" w:eastAsia="仿宋_GB2312"/>
                <w:sz w:val="24"/>
                <w:color w:val="0A82E5"/>
                <w:shd w:fill="FFFFFF" w:val="clear"/>
              </w:rPr>
              <w:t>商务要求</w:t>
            </w:r>
          </w:p>
          <w:p>
            <w:pPr>
              <w:pStyle w:val="null3"/>
              <w:ind w:left="-90"/>
            </w:pPr>
            <w:r>
              <w:rPr>
                <w:rFonts w:ascii="仿宋_GB2312" w:hAnsi="仿宋_GB2312" w:cs="仿宋_GB2312" w:eastAsia="仿宋_GB2312"/>
                <w:sz w:val="24"/>
                <w:color w:val="0A82E5"/>
                <w:shd w:fill="FFFFFF" w:val="clear"/>
              </w:rPr>
              <w:t>1. 服务期限：自合同签署之日起至2025年12月底。</w:t>
            </w:r>
          </w:p>
          <w:p>
            <w:pPr>
              <w:pStyle w:val="null3"/>
              <w:ind w:left="-90"/>
            </w:pPr>
            <w:r>
              <w:rPr>
                <w:rFonts w:ascii="仿宋_GB2312" w:hAnsi="仿宋_GB2312" w:cs="仿宋_GB2312" w:eastAsia="仿宋_GB2312"/>
                <w:sz w:val="24"/>
                <w:color w:val="0A82E5"/>
                <w:shd w:fill="FFFFFF" w:val="clear"/>
              </w:rPr>
              <w:t>2. 项目预算：40万元。</w:t>
            </w:r>
          </w:p>
          <w:p>
            <w:pPr>
              <w:pStyle w:val="null3"/>
              <w:ind w:left="-90"/>
            </w:pPr>
            <w:r>
              <w:rPr>
                <w:rFonts w:ascii="仿宋_GB2312" w:hAnsi="仿宋_GB2312" w:cs="仿宋_GB2312" w:eastAsia="仿宋_GB2312"/>
                <w:sz w:val="24"/>
                <w:color w:val="0A82E5"/>
                <w:shd w:fill="FFFFFF" w:val="clear"/>
              </w:rPr>
              <w:t>3. 款项结算：合同签订后 ，达到付款条件起2周内，支付合同总金额的60.00%；项目验收合格后，达到付款条件起2周内，支付合同总金额的40.00%。</w:t>
            </w:r>
          </w:p>
          <w:p>
            <w:pPr>
              <w:pStyle w:val="null3"/>
              <w:ind w:left="-90"/>
            </w:pPr>
            <w:r>
              <w:rPr>
                <w:rFonts w:ascii="仿宋_GB2312" w:hAnsi="仿宋_GB2312" w:cs="仿宋_GB2312" w:eastAsia="仿宋_GB2312"/>
                <w:sz w:val="24"/>
                <w:color w:val="0A82E5"/>
                <w:shd w:fill="FFFFFF" w:val="clear"/>
              </w:rPr>
              <w:t>4. 项目验收：项目按服务要求及业绩要求进行采购单位内部程序验收。验收报告作为申请付款的凭证之一。验收过程中产生纠纷的，由质量技术监督部门认定的检测机构检测费用由供应商承担。项目执行需确保“真实性、时效性、安全性”原则，不得违反有关法律法规，不侵害其他个人和组织的有关权益(包括但不限于知识产权、版权和人身 权利等)。在本合同履行过程中和履行过程后三年内，若发生知识产权纠纷导致甲方被第三方投诉或起诉的，由此所产生的全部责任由乙方承担；若乙方采取不专业的工作方式，导致账号被封号、限制、通报或引发</w:t>
            </w:r>
            <w:r>
              <w:rPr>
                <w:rFonts w:ascii="仿宋_GB2312" w:hAnsi="仿宋_GB2312" w:cs="仿宋_GB2312" w:eastAsia="仿宋_GB2312"/>
                <w:sz w:val="24"/>
                <w:color w:val="0A82E5"/>
                <w:shd w:fill="FFFFFF" w:val="clear"/>
              </w:rPr>
              <w:t>负面信息</w:t>
            </w:r>
            <w:r>
              <w:rPr>
                <w:rFonts w:ascii="仿宋_GB2312" w:hAnsi="仿宋_GB2312" w:cs="仿宋_GB2312" w:eastAsia="仿宋_GB2312"/>
                <w:sz w:val="24"/>
                <w:color w:val="0A82E5"/>
                <w:shd w:fill="FFFFFF" w:val="clear"/>
              </w:rPr>
              <w:t>造成恶劣影响的，甲方可视情况单方解除合同，乙方还应向甲方支付总标的50%的违约金。同时乙方还应根据工作实际完成进度，退还未完成部分的项目费用(项目总费用按每月十二分之一分摊计算)。若实际损失超过违约金的，对超过部分甲方有权要求乙方承担赔偿责任，包括甲方因此产生的调查费、律师费、诉讼费等费用。</w:t>
            </w:r>
          </w:p>
          <w:p>
            <w:pPr>
              <w:pStyle w:val="null3"/>
              <w:ind w:left="-90"/>
            </w:pPr>
            <w:r>
              <w:rPr>
                <w:rFonts w:ascii="仿宋_GB2312" w:hAnsi="仿宋_GB2312" w:cs="仿宋_GB2312" w:eastAsia="仿宋_GB2312"/>
                <w:sz w:val="24"/>
                <w:color w:val="0A82E5"/>
                <w:shd w:fill="FFFFFF" w:val="clear"/>
              </w:rPr>
              <w:t>五、其他要求</w:t>
            </w:r>
          </w:p>
          <w:p>
            <w:pPr>
              <w:pStyle w:val="null3"/>
              <w:ind w:left="-90"/>
            </w:pPr>
            <w:r>
              <w:rPr>
                <w:rFonts w:ascii="仿宋_GB2312" w:hAnsi="仿宋_GB2312" w:cs="仿宋_GB2312" w:eastAsia="仿宋_GB2312"/>
                <w:sz w:val="24"/>
                <w:color w:val="0A82E5"/>
                <w:shd w:fill="FFFFFF" w:val="clear"/>
              </w:rPr>
              <w:t>1.版权归属：视频号版权、著作权、知识产权、收益、粉丝等相关产权、权益，图文、视频资源库的设计和所有权、知识产权等归属于西安市旅游信息咨询中心，并且西安市旅游信息咨询中心有权对项目期间产生的各项内容进行二次加工及传播。</w:t>
            </w:r>
          </w:p>
          <w:p>
            <w:pPr>
              <w:pStyle w:val="null3"/>
              <w:ind w:left="-90"/>
            </w:pPr>
            <w:r>
              <w:rPr>
                <w:rFonts w:ascii="仿宋_GB2312" w:hAnsi="仿宋_GB2312" w:cs="仿宋_GB2312" w:eastAsia="仿宋_GB2312"/>
                <w:sz w:val="24"/>
                <w:color w:val="0A82E5"/>
                <w:shd w:fill="FFFFFF" w:val="clear"/>
              </w:rPr>
              <w:t>2.本项目采用费用包干方式服务，供应商根据项目要求和现场情况，详细列明项目所需的工作人员及演员劳务费、器材费、配音费、剪辑制作费、拟投入本项目全体工作人员意外保险费、项目审查阶段的顾问咨询费、成品专家评审费等费用，以及项目所需的人工、管理、财务等所有费用，如一旦中标，在项目实施中出现任何遗漏，均由成交供应商免费提供，采购人不再支付任何费用。</w:t>
            </w:r>
          </w:p>
          <w:p>
            <w:pPr>
              <w:pStyle w:val="null3"/>
              <w:ind w:left="-90"/>
            </w:pPr>
            <w:r>
              <w:rPr>
                <w:rFonts w:ascii="仿宋_GB2312" w:hAnsi="仿宋_GB2312" w:cs="仿宋_GB2312" w:eastAsia="仿宋_GB2312"/>
                <w:sz w:val="24"/>
                <w:color w:val="0A82E5"/>
                <w:shd w:fill="FFFFFF" w:val="clear"/>
              </w:rPr>
              <w:t>3. 供应商应具有独立承担及完成本采购项目的能力，不得将本采购项目进行转包或分包。</w:t>
            </w:r>
          </w:p>
          <w:p>
            <w:pPr>
              <w:pStyle w:val="null3"/>
              <w:jc w:val="both"/>
            </w:pPr>
            <w:r>
              <w:rPr>
                <w:rFonts w:ascii="仿宋_GB2312" w:hAnsi="仿宋_GB2312" w:cs="仿宋_GB2312" w:eastAsia="仿宋_GB2312"/>
                <w:sz w:val="24"/>
                <w:color w:val="0A82E5"/>
                <w:shd w:fill="FFFFFF" w:val="clear"/>
              </w:rPr>
              <w:t>4.供应商在视频拍摄前，如需踏勘现场，由中标单位自行组织，相关费用自理，踏勘及拍摄期间发生的意外自负。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响应文件格式-标的清单）本项目服务范围：2025年“西安文旅 ”抖音、视频号运营提升项目； 服务要求：符合磋商文件有关技术、商务要求； 服务标准：符合国家及行业现行标准。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自合同签署之日起至2025年12月底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3.1磋商文件、磋商响应文件、澄清表（函）；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安全责任:乙方应对其工作人员在现场工作期间的一切行为负责，如安全事故责任及因此发生的人身损害赔偿和其它费用由乙方承担。3.4.2保密条款:(1)成交供应商应严格遵守采购单位有关保密规定，不得泄漏一切机密;(2)在技术服务期间，成交供应商对接触到的有关采购单位商业活动、技术情报和技术资料等文件进行保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分项报价表 中小企业声明函 残疾人福利性单位声明函 资格证明材料 标的清单 服务内容及服务要求应答表 报价表 商务要求应答表 陕西省政府采购投标人拒绝政府采购领域商业贿赂承诺书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分项报价表 中小企业声明函 残疾人福利性单位声明函 资格证明材料 标的清单 服务内容及服务要求应答表 报价表 商务要求应答表 陕西省政府采购投标人拒绝政府采购领域商业贿赂承诺书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服务内容及服务要求应答表 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资格证明材料 供应商认为需要补充的其他内容</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评审得分相同的，按照最后报价由低到高的顺序推荐。评审得分且最后报价相同的，按照详细评审优劣顺序推荐。评审得分且最后报价且详细评审得分均相同的，由采购人采取随机抽取的方式确定成交供应商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w:t>
            </w:r>
          </w:p>
        </w:tc>
        <w:tc>
          <w:tcPr>
            <w:tcW w:type="dxa" w:w="2492"/>
          </w:tcPr>
          <w:p>
            <w:pPr>
              <w:pStyle w:val="null3"/>
            </w:pPr>
            <w:r>
              <w:rPr>
                <w:rFonts w:ascii="仿宋_GB2312" w:hAnsi="仿宋_GB2312" w:cs="仿宋_GB2312" w:eastAsia="仿宋_GB2312"/>
              </w:rPr>
              <w:t>供应商对项目的理解，内容包含①项目背景和现状②项目需求③工作方向解读等进行综合评审。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供应商的服务方案，内容包含①账号基础优化方案②内容策划与创作方案③拍摄与制作方案④数据分析与运营优化方案⑤广告投放与推广方案等进行综合评审。 前述要求的内容均有描述且符合本项目要求的得15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业务风控能力处理方式</w:t>
            </w:r>
          </w:p>
        </w:tc>
        <w:tc>
          <w:tcPr>
            <w:tcW w:type="dxa" w:w="2492"/>
          </w:tcPr>
          <w:p>
            <w:pPr>
              <w:pStyle w:val="null3"/>
            </w:pPr>
            <w:r>
              <w:rPr>
                <w:rFonts w:ascii="仿宋_GB2312" w:hAnsi="仿宋_GB2312" w:cs="仿宋_GB2312" w:eastAsia="仿宋_GB2312"/>
              </w:rPr>
              <w:t>供应商提供业务风控能力处理方式，内容包含①预防账号被限制、通报的措施②预防负面信息产生恶劣影响的措施及产生后的处理方案等进行综合评审。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供应商提供针对本项目的进度计划，内容包含①进度计划安排②进度计划保证措施等进行综合评审。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供应商提供质量保证方案，内容包括但不限于①质量管理体系②质量保障措施③质量控制手段等。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供应商提供应急方案，方案内容包括但不限于①应急预案详述②应急工作流程③应急措施；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器材配置</w:t>
            </w:r>
          </w:p>
        </w:tc>
        <w:tc>
          <w:tcPr>
            <w:tcW w:type="dxa" w:w="2492"/>
          </w:tcPr>
          <w:p>
            <w:pPr>
              <w:pStyle w:val="null3"/>
            </w:pPr>
            <w:r>
              <w:rPr>
                <w:rFonts w:ascii="仿宋_GB2312" w:hAnsi="仿宋_GB2312" w:cs="仿宋_GB2312" w:eastAsia="仿宋_GB2312"/>
              </w:rPr>
              <w:t>供应商提供器材配置方案，方案内容包括但不限于①专业设备种类②专业设备使用计划； ①专业设备种类：每缺少1种设备类型，扣除0.5分，本项最多得2.5分； 注：需提供设备自有证明材料或租赁协议。未提供相关材料不计分。 ②专业设备使用计划，本项最多得5分： (1)专业设备使用计划内容详细明确，计划可行，满足采购需求，得5分； (2)专业设备使用计划内容有描述，得3分； (3)专业设备使用计划内容粗略，得1分。 不提供不得分。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业务能力证明</w:t>
            </w:r>
          </w:p>
        </w:tc>
        <w:tc>
          <w:tcPr>
            <w:tcW w:type="dxa" w:w="2492"/>
          </w:tcPr>
          <w:p>
            <w:pPr>
              <w:pStyle w:val="null3"/>
            </w:pPr>
            <w:r>
              <w:rPr>
                <w:rFonts w:ascii="仿宋_GB2312" w:hAnsi="仿宋_GB2312" w:cs="仿宋_GB2312" w:eastAsia="仿宋_GB2312"/>
              </w:rPr>
              <w:t>供应商提供①广播电视节目制作经营许可证②音视频广告编辑类软件著作权证书③负面信息分析类系统软件著作权证书④数字营销或广告推广类系统软件著作权证书⑤大数据分析类系统软件著作权证书； 每任意提供一个得 2 分，最高得 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1.项目负责人：具有相关专业本科及以上学历，且具有3年及以上类似项目管理经验的计2分。 注：学历须提供毕业证书或学信网证明资料；管理经验需提供有效证明材料，包括但不限于劳动合同或成果文件或公示公告等证明材料（不提供或提供不全，本项不得分） 2.视频拍摄制作类人员：具有相关专业（包含但不限于影视制作、新闻传播、视觉传达、艺术设计等）专科及以上学历，每符合1个得1.5分；本项满分6分。 注：提供毕业证书或学信网证明资料； 3. 文案、策划、校审人员：具有相关专业（包含但不限于汉语言文学、新闻传播等）专科及以上学历，每符合1个得1.5分，本项满分3分。 注：提供毕业证书或学信网证明资料； 4. 设计、推广类人员：具有相关专业（包含但不限于艺术设计、广告传媒、视觉传达等）专科及以上学历，每符合1个得1.5分，本项满分1.5分。 注：提供毕业证书或学信网证明资料； 注：除上述资料外，须提供人员在职承诺书（格式自拟）或相关材料</w:t>
            </w:r>
          </w:p>
        </w:tc>
        <w:tc>
          <w:tcPr>
            <w:tcW w:type="dxa" w:w="831"/>
          </w:tcPr>
          <w:p>
            <w:pPr>
              <w:pStyle w:val="null3"/>
              <w:jc w:val="right"/>
            </w:pPr>
            <w:r>
              <w:rPr>
                <w:rFonts w:ascii="仿宋_GB2312" w:hAnsi="仿宋_GB2312" w:cs="仿宋_GB2312" w:eastAsia="仿宋_GB2312"/>
              </w:rPr>
              <w:t>12.5000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供应商业绩情况</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详见附件：供应商业绩情况</w:t>
      </w:r>
    </w:p>
    <w:p>
      <w:pPr>
        <w:pStyle w:val="null3"/>
        <w:ind w:firstLine="960"/>
      </w:pPr>
      <w:r>
        <w:rPr>
          <w:rFonts w:ascii="仿宋_GB2312" w:hAnsi="仿宋_GB2312" w:cs="仿宋_GB2312" w:eastAsia="仿宋_GB2312"/>
        </w:rPr>
        <w:t>详见附件：陕西省政府采购投标人拒绝政府采购领域商业贿赂承诺书</w:t>
      </w:r>
    </w:p>
    <w:p>
      <w:pPr>
        <w:pStyle w:val="null3"/>
        <w:ind w:firstLine="960"/>
      </w:pPr>
      <w:r>
        <w:rPr>
          <w:rFonts w:ascii="仿宋_GB2312" w:hAnsi="仿宋_GB2312" w:cs="仿宋_GB2312" w:eastAsia="仿宋_GB2312"/>
        </w:rPr>
        <w:t>详见附件：供应商认为需要补充的其他内容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