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eastAsia="zh-CN"/>
        </w:rPr>
        <w:t>商务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eastAsia="zh-CN"/>
        </w:rPr>
        <w:t>要求</w:t>
      </w: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偏离表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240" w:lineRule="auto"/>
        <w:ind w:right="0" w:rightChars="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 w:firstLine="0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磋商文件商务要求</w:t>
            </w:r>
          </w:p>
        </w:tc>
        <w:tc>
          <w:tcPr>
            <w:tcW w:w="26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磋商响应文件响应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备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1.本表只填写磋商响应文件中与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竞争性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磋商文件</w:t>
      </w:r>
      <w:r>
        <w:rPr>
          <w:rFonts w:hint="eastAsia" w:ascii="宋体" w:hAnsi="宋体" w:cs="宋体"/>
          <w:bCs/>
          <w:color w:val="auto"/>
          <w:kern w:val="0"/>
          <w:sz w:val="24"/>
          <w:szCs w:val="24"/>
          <w:highlight w:val="none"/>
          <w:lang w:eastAsia="zh-CN"/>
        </w:rPr>
        <w:t>商务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正偏离与负偏离的内容，磋商响应文件中的响应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与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竞争性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磋商文件要求完全一致的，不用在此表中列出但必须提交空白表。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2．供应商必须据实填写，不得虚假响应，否则将取消其磋商或成交资格，并按有关规定进行处罚。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 w:firstLine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 w:firstLine="2880" w:firstLineChars="1200"/>
        <w:jc w:val="both"/>
        <w:textAlignment w:val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745273EA"/>
    <w:rsid w:val="14F11A91"/>
    <w:rsid w:val="285443B9"/>
    <w:rsid w:val="55620D75"/>
    <w:rsid w:val="60932FCA"/>
    <w:rsid w:val="745273EA"/>
    <w:rsid w:val="7474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1"/>
    </w:rPr>
  </w:style>
  <w:style w:type="paragraph" w:styleId="4">
    <w:name w:val="toc 4"/>
    <w:basedOn w:val="1"/>
    <w:next w:val="1"/>
    <w:unhideWhenUsed/>
    <w:qFormat/>
    <w:uiPriority w:val="39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217</Characters>
  <Lines>0</Lines>
  <Paragraphs>0</Paragraphs>
  <TotalTime>1</TotalTime>
  <ScaleCrop>false</ScaleCrop>
  <LinksUpToDate>false</LinksUpToDate>
  <CharactersWithSpaces>312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2023-10-26T10:20:00Z</dcterms:created>
  <dc:creator>M. ICARDI</dc:creator>
  <cp:lastModifiedBy>M. ICARDI</cp:lastModifiedBy>
  <dcterms:modified xsi:type="dcterms:W3CDTF">2023-10-27T01:23:02Z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8EA33CAE92A7444FAA9D838BDE49040A_13</vt:lpwstr>
  </property>
</Properties>
</file>