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012C6A">
      <w:pPr>
        <w:wordWrap w:val="0"/>
        <w:spacing w:line="500" w:lineRule="exact"/>
        <w:jc w:val="center"/>
        <w:rPr>
          <w:rFonts w:hint="eastAsia" w:ascii="宋体" w:hAnsi="宋体" w:eastAsia="宋体" w:cs="宋体"/>
          <w:sz w:val="32"/>
          <w:szCs w:val="32"/>
          <w:lang w:eastAsia="zh-TW"/>
        </w:rPr>
      </w:pPr>
      <w:bookmarkStart w:id="0" w:name="bookmark1"/>
      <w:bookmarkStart w:id="1" w:name="bookmark2"/>
      <w:bookmarkStart w:id="2" w:name="bookmark0"/>
      <w:r>
        <w:rPr>
          <w:rFonts w:hint="eastAsia" w:ascii="宋体" w:hAnsi="宋体" w:eastAsia="宋体" w:cs="宋体"/>
          <w:b/>
          <w:bCs/>
          <w:sz w:val="36"/>
          <w:szCs w:val="36"/>
          <w:lang w:eastAsia="zh-TW"/>
        </w:rPr>
        <w:t>西安市创新港中学（创新港西安交通大学附属中学）网络服务费合同</w:t>
      </w:r>
      <w:bookmarkEnd w:id="0"/>
      <w:bookmarkEnd w:id="1"/>
      <w:bookmarkEnd w:id="2"/>
    </w:p>
    <w:p w14:paraId="5FEE75F1">
      <w:pPr>
        <w:tabs>
          <w:tab w:val="left" w:pos="1901"/>
        </w:tabs>
        <w:wordWrap w:val="0"/>
        <w:spacing w:line="360" w:lineRule="auto"/>
        <w:ind w:firstLine="480" w:firstLineChars="200"/>
        <w:rPr>
          <w:rFonts w:hint="eastAsia" w:ascii="宋体" w:hAnsi="宋体" w:eastAsia="宋体" w:cs="宋体"/>
          <w:sz w:val="24"/>
          <w:szCs w:val="24"/>
        </w:rPr>
      </w:pPr>
      <w:bookmarkStart w:id="3" w:name="bookmark3"/>
      <w:bookmarkStart w:id="4" w:name="bookmark5"/>
      <w:bookmarkStart w:id="5" w:name="bookmark4"/>
      <w:r>
        <w:rPr>
          <w:rFonts w:hint="eastAsia" w:ascii="宋体" w:hAnsi="宋体" w:eastAsia="宋体" w:cs="宋体"/>
          <w:sz w:val="24"/>
          <w:szCs w:val="24"/>
        </w:rPr>
        <w:t>合同签订地：西安</w:t>
      </w:r>
    </w:p>
    <w:p w14:paraId="69F5573E">
      <w:pPr>
        <w:tabs>
          <w:tab w:val="left" w:pos="1181"/>
        </w:tabs>
        <w:wordWrap w:val="0"/>
        <w:spacing w:line="360" w:lineRule="auto"/>
        <w:ind w:firstLine="480" w:firstLineChars="200"/>
        <w:rPr>
          <w:rFonts w:hint="eastAsia" w:ascii="宋体" w:hAnsi="宋体" w:eastAsia="宋体" w:cs="宋体"/>
          <w:color w:val="FF0000"/>
          <w:sz w:val="24"/>
          <w:szCs w:val="24"/>
        </w:rPr>
      </w:pPr>
      <w:r>
        <w:rPr>
          <w:rFonts w:hint="eastAsia" w:ascii="宋体" w:hAnsi="宋体" w:eastAsia="宋体" w:cs="宋体"/>
          <w:sz w:val="24"/>
          <w:szCs w:val="24"/>
        </w:rPr>
        <w:t>甲方：</w:t>
      </w:r>
      <w:r>
        <w:rPr>
          <w:rFonts w:hint="eastAsia" w:ascii="宋体" w:hAnsi="宋体" w:eastAsia="宋体" w:cs="宋体"/>
          <w:color w:val="FF0000"/>
          <w:sz w:val="24"/>
          <w:szCs w:val="24"/>
        </w:rPr>
        <w:t>[</w:t>
      </w:r>
      <w:r>
        <w:rPr>
          <w:rFonts w:hint="eastAsia" w:ascii="宋体" w:hAnsi="宋体" w:eastAsia="宋体" w:cs="宋体"/>
          <w:color w:val="FF0000"/>
          <w:sz w:val="24"/>
          <w:szCs w:val="24"/>
        </w:rPr>
        <w:tab/>
      </w:r>
      <w:r>
        <w:rPr>
          <w:rFonts w:hint="eastAsia" w:ascii="宋体" w:hAnsi="宋体" w:eastAsia="宋体" w:cs="宋体"/>
          <w:color w:val="FF0000"/>
          <w:sz w:val="24"/>
          <w:szCs w:val="24"/>
        </w:rPr>
        <w:t>]</w:t>
      </w:r>
    </w:p>
    <w:p w14:paraId="7D78313C">
      <w:pPr>
        <w:tabs>
          <w:tab w:val="left" w:pos="1181"/>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color w:val="FF0000"/>
          <w:sz w:val="24"/>
          <w:szCs w:val="24"/>
        </w:rPr>
        <w:t>[</w:t>
      </w:r>
      <w:r>
        <w:rPr>
          <w:rFonts w:hint="eastAsia" w:ascii="宋体" w:hAnsi="宋体" w:eastAsia="宋体" w:cs="宋体"/>
          <w:color w:val="FF0000"/>
          <w:sz w:val="24"/>
          <w:szCs w:val="24"/>
        </w:rPr>
        <w:tab/>
      </w:r>
      <w:r>
        <w:rPr>
          <w:rFonts w:hint="eastAsia" w:ascii="宋体" w:hAnsi="宋体" w:eastAsia="宋体" w:cs="宋体"/>
          <w:color w:val="FF0000"/>
          <w:sz w:val="24"/>
          <w:szCs w:val="24"/>
        </w:rPr>
        <w:t>]</w:t>
      </w:r>
    </w:p>
    <w:p w14:paraId="03F29078">
      <w:pPr>
        <w:tabs>
          <w:tab w:val="left" w:pos="2741"/>
        </w:tabs>
        <w:wordWrap w:val="0"/>
        <w:spacing w:line="360" w:lineRule="auto"/>
        <w:ind w:firstLine="480" w:firstLineChars="200"/>
        <w:rPr>
          <w:rFonts w:hint="eastAsia" w:ascii="宋体" w:hAnsi="宋体" w:eastAsia="宋体" w:cs="宋体"/>
          <w:color w:val="FF0000"/>
          <w:sz w:val="24"/>
          <w:szCs w:val="24"/>
        </w:rPr>
      </w:pPr>
      <w:r>
        <w:rPr>
          <w:rFonts w:hint="eastAsia" w:ascii="宋体" w:hAnsi="宋体" w:eastAsia="宋体" w:cs="宋体"/>
          <w:sz w:val="24"/>
          <w:szCs w:val="24"/>
        </w:rPr>
        <w:t>法定代表人/负责人：</w:t>
      </w:r>
      <w:r>
        <w:rPr>
          <w:rFonts w:hint="eastAsia" w:ascii="宋体" w:hAnsi="宋体" w:eastAsia="宋体" w:cs="宋体"/>
          <w:color w:val="FF0000"/>
          <w:sz w:val="24"/>
          <w:szCs w:val="24"/>
        </w:rPr>
        <w:t>[</w:t>
      </w:r>
      <w:r>
        <w:rPr>
          <w:rFonts w:hint="eastAsia" w:ascii="宋体" w:hAnsi="宋体" w:eastAsia="宋体" w:cs="宋体"/>
          <w:color w:val="FF0000"/>
          <w:sz w:val="24"/>
          <w:szCs w:val="24"/>
        </w:rPr>
        <w:tab/>
      </w:r>
      <w:r>
        <w:rPr>
          <w:rFonts w:hint="eastAsia" w:ascii="宋体" w:hAnsi="宋体" w:eastAsia="宋体" w:cs="宋体"/>
          <w:color w:val="FF0000"/>
          <w:sz w:val="24"/>
          <w:szCs w:val="24"/>
        </w:rPr>
        <w:t>]</w:t>
      </w:r>
    </w:p>
    <w:p w14:paraId="22D428DC">
      <w:pPr>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乙方：</w:t>
      </w:r>
    </w:p>
    <w:p w14:paraId="30729C97">
      <w:pPr>
        <w:tabs>
          <w:tab w:val="left" w:pos="2141"/>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w:t>
      </w:r>
    </w:p>
    <w:p w14:paraId="04D3BC3A">
      <w:pPr>
        <w:tabs>
          <w:tab w:val="left" w:pos="2141"/>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法定代表人/负责人：</w:t>
      </w:r>
    </w:p>
    <w:p w14:paraId="4E448913">
      <w:pPr>
        <w:wordWrap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鉴于：</w:t>
      </w:r>
    </w:p>
    <w:p w14:paraId="71D8FEE1">
      <w:pPr>
        <w:tabs>
          <w:tab w:val="left" w:pos="823"/>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1.甲方由于业务发展需要使用乙方互联网专线业务。</w:t>
      </w:r>
    </w:p>
    <w:p w14:paraId="48199799">
      <w:pPr>
        <w:tabs>
          <w:tab w:val="left" w:pos="823"/>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2.乙方同意按照本合同约定的条款和条件向甲方提供互联网专线业务。</w:t>
      </w:r>
    </w:p>
    <w:p w14:paraId="11A81441">
      <w:pPr>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甲乙双方本着平等互利，互相信赖，有偿使用，共同发展的原则，经友好协商达成本合同。</w:t>
      </w:r>
    </w:p>
    <w:p w14:paraId="4EA547EF">
      <w:pPr>
        <w:keepNext/>
        <w:keepLines/>
        <w:wordWrap w:val="0"/>
        <w:spacing w:line="360" w:lineRule="auto"/>
        <w:outlineLvl w:val="1"/>
        <w:rPr>
          <w:rFonts w:hint="eastAsia" w:ascii="宋体" w:hAnsi="宋体" w:eastAsia="宋体" w:cs="宋体"/>
          <w:b/>
          <w:sz w:val="24"/>
          <w:szCs w:val="24"/>
        </w:rPr>
      </w:pPr>
      <w:r>
        <w:rPr>
          <w:rFonts w:hint="eastAsia" w:ascii="宋体" w:hAnsi="宋体" w:eastAsia="宋体" w:cs="宋体"/>
          <w:b/>
          <w:bCs/>
          <w:sz w:val="24"/>
          <w:szCs w:val="24"/>
        </w:rPr>
        <w:t>第一条定义</w:t>
      </w:r>
    </w:p>
    <w:p w14:paraId="04D048AB">
      <w:pPr>
        <w:numPr>
          <w:ilvl w:val="1"/>
          <w:numId w:val="0"/>
        </w:numPr>
        <w:tabs>
          <w:tab w:val="left" w:pos="943"/>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1.1“互联网专线”：指采用光纤直连/传输电路/PON/LAN 等方式接入，由中国电信提供一定数量的固定公网 IP 地址、通过静态路由协议与中国电信城域网互联的、上下行速率对称的互联网接入服务。</w:t>
      </w:r>
    </w:p>
    <w:p w14:paraId="4133E3DD">
      <w:pPr>
        <w:numPr>
          <w:ilvl w:val="1"/>
          <w:numId w:val="0"/>
        </w:numPr>
        <w:tabs>
          <w:tab w:val="left" w:pos="943"/>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1.2“一站式服务”：在一点完成相关的电信业务服务，如：业务咨询，受理，收费以及故障受理、技术支持等。</w:t>
      </w:r>
    </w:p>
    <w:p w14:paraId="4B3F0273">
      <w:pPr>
        <w:numPr>
          <w:ilvl w:val="1"/>
          <w:numId w:val="0"/>
        </w:numPr>
        <w:tabs>
          <w:tab w:val="left" w:pos="943"/>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1.3“接入方式”：指甲方终端设备接入到乙方 IP 城域网中使用的技术类型，包括：LAN、PON、光纤直连、传输电路（SDH 或 MSTP）等。</w:t>
      </w:r>
    </w:p>
    <w:p w14:paraId="57BDFE65">
      <w:pPr>
        <w:numPr>
          <w:ilvl w:val="1"/>
          <w:numId w:val="0"/>
        </w:numPr>
        <w:tabs>
          <w:tab w:val="left" w:pos="943"/>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1.4“公网 IP 地址”：指乙方为甲方提供的，甲方可以自行分配使用的固定公网 IP 地址。</w:t>
      </w:r>
    </w:p>
    <w:p w14:paraId="4647DBB9">
      <w:pPr>
        <w:numPr>
          <w:ilvl w:val="1"/>
          <w:numId w:val="0"/>
        </w:numPr>
        <w:tabs>
          <w:tab w:val="left" w:pos="943"/>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1.5“速率”：指中国电信城域网 IP 接入端口到甲方终端设备（下行速率）或甲方终端设备到中国电信城域网 IP 接入端口（上行速率）在单位时间内传输的比特数，乙方承诺下行或上行实际速率不低于本合同约定速率的 90%。</w:t>
      </w:r>
    </w:p>
    <w:p w14:paraId="39B1C0B0">
      <w:pPr>
        <w:numPr>
          <w:ilvl w:val="1"/>
          <w:numId w:val="0"/>
        </w:numPr>
        <w:tabs>
          <w:tab w:val="left" w:pos="943"/>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1.6“网络割接”：因工程施工、网络建设等原因，对现有的传输干线及相关系统进行必要的修改、调整、搬迁和改造等活动。</w:t>
      </w:r>
    </w:p>
    <w:p w14:paraId="10177977">
      <w:pPr>
        <w:numPr>
          <w:ilvl w:val="1"/>
          <w:numId w:val="0"/>
        </w:numPr>
        <w:tabs>
          <w:tab w:val="left" w:pos="943"/>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1.7“一次性费用”：在接入过程中需要的相关费用，如：手续费，测试费等。</w:t>
      </w:r>
    </w:p>
    <w:p w14:paraId="7777603B">
      <w:pPr>
        <w:numPr>
          <w:ilvl w:val="1"/>
          <w:numId w:val="0"/>
        </w:numPr>
        <w:tabs>
          <w:tab w:val="left" w:pos="943"/>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1.8“月使用费”：按月收取的业务服务费及网络使用费。</w:t>
      </w:r>
    </w:p>
    <w:p w14:paraId="13086284">
      <w:pPr>
        <w:numPr>
          <w:ilvl w:val="1"/>
          <w:numId w:val="0"/>
        </w:numPr>
        <w:tabs>
          <w:tab w:val="left" w:pos="943"/>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1.9“工作日”：除周六、周日及法定节假日以外的日历日。</w:t>
      </w:r>
    </w:p>
    <w:p w14:paraId="37B03CD4">
      <w:pPr>
        <w:numPr>
          <w:ilvl w:val="1"/>
          <w:numId w:val="0"/>
        </w:numPr>
        <w:tabs>
          <w:tab w:val="left" w:pos="1063"/>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1.10“日”：日历日，包括工作日、法定节假日和休息日。</w:t>
      </w:r>
    </w:p>
    <w:p w14:paraId="36537BB6">
      <w:pPr>
        <w:numPr>
          <w:ilvl w:val="1"/>
          <w:numId w:val="0"/>
        </w:numPr>
        <w:tabs>
          <w:tab w:val="left" w:pos="1063"/>
        </w:tabs>
        <w:wordWrap w:val="0"/>
        <w:spacing w:line="360" w:lineRule="auto"/>
        <w:outlineLvl w:val="1"/>
        <w:rPr>
          <w:rFonts w:hint="eastAsia" w:ascii="宋体" w:hAnsi="宋体" w:eastAsia="宋体" w:cs="宋体"/>
          <w:sz w:val="24"/>
          <w:szCs w:val="24"/>
        </w:rPr>
      </w:pPr>
      <w:r>
        <w:rPr>
          <w:rFonts w:hint="eastAsia" w:ascii="宋体" w:hAnsi="宋体" w:eastAsia="宋体" w:cs="宋体"/>
          <w:b/>
          <w:bCs/>
          <w:sz w:val="24"/>
          <w:szCs w:val="24"/>
        </w:rPr>
        <w:t>第二条服务内容</w:t>
      </w:r>
    </w:p>
    <w:p w14:paraId="3EA2651A">
      <w:pPr>
        <w:numPr>
          <w:ilvl w:val="1"/>
          <w:numId w:val="0"/>
        </w:numPr>
        <w:tabs>
          <w:tab w:val="left" w:pos="1062"/>
          <w:tab w:val="left" w:pos="2755"/>
          <w:tab w:val="left" w:pos="2861"/>
          <w:tab w:val="left" w:pos="5501"/>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2.1甲方使用乙方</w:t>
      </w:r>
      <w:r>
        <w:rPr>
          <w:rFonts w:hint="eastAsia" w:ascii="宋体" w:hAnsi="宋体" w:eastAsia="宋体" w:cs="宋体"/>
          <w:b/>
          <w:color w:val="FF0000"/>
          <w:sz w:val="24"/>
          <w:szCs w:val="24"/>
        </w:rPr>
        <w:t>[ （M）]或[  （G）]</w:t>
      </w:r>
      <w:r>
        <w:rPr>
          <w:rFonts w:hint="eastAsia" w:ascii="宋体" w:hAnsi="宋体" w:eastAsia="宋体" w:cs="宋体"/>
          <w:sz w:val="24"/>
          <w:szCs w:val="24"/>
        </w:rPr>
        <w:t>互联网专线业务用于办公。</w:t>
      </w:r>
    </w:p>
    <w:p w14:paraId="66347CB2">
      <w:pPr>
        <w:tabs>
          <w:tab w:val="left" w:pos="3101"/>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具体以盖有甲方公章或授权部门章（部门章名为：[/]，部门章印鉴样本见附件）的业务需求单为准（附件一）。</w:t>
      </w:r>
    </w:p>
    <w:p w14:paraId="466AE79A">
      <w:pPr>
        <w:tabs>
          <w:tab w:val="left" w:pos="3101"/>
        </w:tabs>
        <w:wordWrap w:val="0"/>
        <w:spacing w:line="360" w:lineRule="auto"/>
        <w:ind w:firstLine="480" w:firstLineChars="200"/>
        <w:rPr>
          <w:rFonts w:hint="eastAsia" w:ascii="宋体" w:hAnsi="宋体" w:eastAsia="宋体" w:cs="宋体"/>
          <w:color w:val="FF0000"/>
          <w:sz w:val="24"/>
          <w:szCs w:val="24"/>
        </w:rPr>
      </w:pPr>
      <w:r>
        <w:rPr>
          <w:rFonts w:hint="eastAsia" w:ascii="宋体" w:hAnsi="宋体" w:eastAsia="宋体" w:cs="宋体"/>
          <w:sz w:val="24"/>
          <w:szCs w:val="24"/>
        </w:rPr>
        <w:t>业务实际开通地址:</w:t>
      </w:r>
      <w:r>
        <w:rPr>
          <w:rFonts w:hint="eastAsia" w:ascii="宋体" w:hAnsi="宋体" w:eastAsia="宋体" w:cs="宋体"/>
          <w:color w:val="FF0000"/>
          <w:sz w:val="24"/>
          <w:szCs w:val="24"/>
        </w:rPr>
        <w:t xml:space="preserve"> [</w:t>
      </w:r>
      <w:r>
        <w:rPr>
          <w:rFonts w:hint="eastAsia" w:ascii="宋体" w:hAnsi="宋体" w:eastAsia="宋体" w:cs="宋体"/>
          <w:color w:val="FF0000"/>
          <w:sz w:val="24"/>
          <w:szCs w:val="24"/>
        </w:rPr>
        <w:tab/>
      </w:r>
      <w:r>
        <w:rPr>
          <w:rFonts w:hint="eastAsia" w:ascii="宋体" w:hAnsi="宋体" w:eastAsia="宋体" w:cs="宋体"/>
          <w:color w:val="FF0000"/>
          <w:sz w:val="24"/>
          <w:szCs w:val="24"/>
        </w:rPr>
        <w:t>]</w:t>
      </w:r>
    </w:p>
    <w:p w14:paraId="26266877">
      <w:pPr>
        <w:tabs>
          <w:tab w:val="left" w:pos="2621"/>
        </w:tabs>
        <w:wordWrap w:val="0"/>
        <w:spacing w:line="360" w:lineRule="auto"/>
        <w:ind w:firstLine="480" w:firstLineChars="200"/>
        <w:rPr>
          <w:rFonts w:hint="eastAsia" w:ascii="宋体" w:hAnsi="宋体" w:eastAsia="宋体" w:cs="宋体"/>
          <w:color w:val="FF0000"/>
          <w:sz w:val="24"/>
          <w:szCs w:val="24"/>
        </w:rPr>
      </w:pPr>
      <w:r>
        <w:rPr>
          <w:rFonts w:hint="eastAsia" w:ascii="宋体" w:hAnsi="宋体" w:eastAsia="宋体" w:cs="宋体"/>
          <w:sz w:val="24"/>
          <w:szCs w:val="24"/>
        </w:rPr>
        <w:t>业务经营范围：</w:t>
      </w:r>
      <w:r>
        <w:rPr>
          <w:rFonts w:hint="eastAsia" w:ascii="宋体" w:hAnsi="宋体" w:eastAsia="宋体" w:cs="宋体"/>
          <w:color w:val="FF0000"/>
          <w:sz w:val="24"/>
          <w:szCs w:val="24"/>
        </w:rPr>
        <w:t>[/]</w:t>
      </w:r>
    </w:p>
    <w:p w14:paraId="3BF7D497">
      <w:pPr>
        <w:tabs>
          <w:tab w:val="left" w:pos="3581"/>
        </w:tabs>
        <w:wordWrap w:val="0"/>
        <w:spacing w:line="360" w:lineRule="auto"/>
        <w:ind w:firstLine="480" w:firstLineChars="200"/>
        <w:rPr>
          <w:rFonts w:hint="eastAsia" w:ascii="宋体" w:hAnsi="宋体" w:eastAsia="宋体" w:cs="宋体"/>
          <w:color w:val="FF0000"/>
          <w:sz w:val="24"/>
          <w:szCs w:val="24"/>
        </w:rPr>
      </w:pPr>
      <w:r>
        <w:rPr>
          <w:rFonts w:hint="eastAsia" w:ascii="宋体" w:hAnsi="宋体" w:eastAsia="宋体" w:cs="宋体"/>
          <w:sz w:val="24"/>
          <w:szCs w:val="24"/>
        </w:rPr>
        <w:t>公网 IP 地址数量（个）：</w:t>
      </w:r>
      <w:r>
        <w:rPr>
          <w:rFonts w:hint="eastAsia" w:ascii="宋体" w:hAnsi="宋体" w:eastAsia="宋体" w:cs="宋体"/>
          <w:color w:val="FF0000"/>
          <w:sz w:val="24"/>
          <w:szCs w:val="24"/>
        </w:rPr>
        <w:t>[</w:t>
      </w:r>
      <w:r>
        <w:rPr>
          <w:rFonts w:hint="eastAsia" w:ascii="宋体" w:hAnsi="宋体" w:eastAsia="宋体" w:cs="宋体"/>
          <w:color w:val="FF0000"/>
          <w:sz w:val="24"/>
          <w:szCs w:val="24"/>
        </w:rPr>
        <w:tab/>
      </w:r>
      <w:r>
        <w:rPr>
          <w:rFonts w:hint="eastAsia" w:ascii="宋体" w:hAnsi="宋体" w:eastAsia="宋体" w:cs="宋体"/>
          <w:color w:val="FF0000"/>
          <w:sz w:val="24"/>
          <w:szCs w:val="24"/>
        </w:rPr>
        <w:t>]</w:t>
      </w:r>
    </w:p>
    <w:p w14:paraId="4FDD11C5">
      <w:pPr>
        <w:tabs>
          <w:tab w:val="left" w:pos="2141"/>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接入方式：[光纤直连]</w:t>
      </w:r>
    </w:p>
    <w:p w14:paraId="73E881E4">
      <w:pPr>
        <w:numPr>
          <w:ilvl w:val="1"/>
          <w:numId w:val="0"/>
        </w:numPr>
        <w:tabs>
          <w:tab w:val="left" w:pos="1038"/>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2.2甲方新的业务需求应当另行向乙方提出。在甲、乙双方就新的业务需求的费用达成一致的前提下，甲方根据本合同的条款和条件，向乙方书面提交盖有甲方公章或授权部门章新的业务需求单。</w:t>
      </w:r>
    </w:p>
    <w:p w14:paraId="5A0503CF">
      <w:pPr>
        <w:tabs>
          <w:tab w:val="left" w:pos="1062"/>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2.3业务需求单为本合同的附件，受本合同的条款和条件约束。</w:t>
      </w:r>
    </w:p>
    <w:p w14:paraId="0B56B77A">
      <w:pPr>
        <w:tabs>
          <w:tab w:val="left" w:pos="1062"/>
        </w:tabs>
        <w:wordWrap w:val="0"/>
        <w:spacing w:line="360" w:lineRule="auto"/>
        <w:outlineLvl w:val="1"/>
        <w:rPr>
          <w:rFonts w:hint="eastAsia" w:ascii="宋体" w:hAnsi="宋体" w:eastAsia="宋体" w:cs="宋体"/>
          <w:b/>
          <w:sz w:val="24"/>
          <w:szCs w:val="24"/>
        </w:rPr>
      </w:pPr>
      <w:r>
        <w:rPr>
          <w:rFonts w:hint="eastAsia" w:ascii="宋体" w:hAnsi="宋体" w:eastAsia="宋体" w:cs="宋体"/>
          <w:b/>
          <w:sz w:val="24"/>
          <w:szCs w:val="24"/>
        </w:rPr>
        <w:t>第三条双方权利和义务</w:t>
      </w:r>
    </w:p>
    <w:p w14:paraId="344B5B04">
      <w:pPr>
        <w:numPr>
          <w:ilvl w:val="1"/>
          <w:numId w:val="0"/>
        </w:numPr>
        <w:tabs>
          <w:tab w:val="left" w:pos="1002"/>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3.1甲方权利和义务</w:t>
      </w:r>
    </w:p>
    <w:p w14:paraId="1492A993">
      <w:pPr>
        <w:numPr>
          <w:ilvl w:val="2"/>
          <w:numId w:val="0"/>
        </w:numPr>
        <w:tabs>
          <w:tab w:val="left" w:pos="1242"/>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3.1.1作为乙方的集团客户，享受乙方为集团客户提供的一站式服务。</w:t>
      </w:r>
    </w:p>
    <w:p w14:paraId="1D494927">
      <w:pPr>
        <w:numPr>
          <w:ilvl w:val="2"/>
          <w:numId w:val="0"/>
        </w:numPr>
        <w:tabs>
          <w:tab w:val="left" w:pos="1278"/>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3.1.2在接入和使用业务过程中出现的技术性问题，均可就近向乙方或乙方当地下属机构申告。</w:t>
      </w:r>
    </w:p>
    <w:p w14:paraId="5526ACC7">
      <w:pPr>
        <w:numPr>
          <w:ilvl w:val="2"/>
          <w:numId w:val="0"/>
        </w:numPr>
        <w:tabs>
          <w:tab w:val="left" w:pos="1242"/>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3.1.3应当按照国家法律法规的规定及本合同的约定合理使用业务，并签署《资源用途承诺书》（附件四），在使用业务过程中不得从事损害乙方及他人合法权益的活动。未经乙方书面同意，不得将本业务以任何方式提供给第三方使用，也不得用于本合同约定用途以外的其他用途。</w:t>
      </w:r>
    </w:p>
    <w:p w14:paraId="4B7800D6">
      <w:pPr>
        <w:numPr>
          <w:ilvl w:val="2"/>
          <w:numId w:val="0"/>
        </w:numPr>
        <w:tabs>
          <w:tab w:val="left" w:pos="1278"/>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3.1.4应当保证连接到其有关通信设备全部符合国家主管部门规定的质量标准和技术要求，并取得进网许可证。</w:t>
      </w:r>
    </w:p>
    <w:p w14:paraId="6D6A0C52">
      <w:pPr>
        <w:numPr>
          <w:ilvl w:val="2"/>
          <w:numId w:val="0"/>
        </w:numPr>
        <w:tabs>
          <w:tab w:val="left" w:pos="1278"/>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3.1.5依照国家主管部门有关资费标准以及双方达成的合同条款，按时足额向乙方缴纳本合同约定的各项费用。</w:t>
      </w:r>
    </w:p>
    <w:p w14:paraId="73DD17BC">
      <w:pPr>
        <w:numPr>
          <w:ilvl w:val="2"/>
          <w:numId w:val="0"/>
        </w:numPr>
        <w:tabs>
          <w:tab w:val="left" w:pos="1278"/>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3.1.6应当以书面形式（业务需求单）向乙方提供互联网专线开通的速率、数量、技术要求、准确的终端接入地点、用途、要求开通时间、服务期、联系人、联系电话等信息。</w:t>
      </w:r>
    </w:p>
    <w:p w14:paraId="7FCBF4F2">
      <w:pPr>
        <w:numPr>
          <w:ilvl w:val="2"/>
          <w:numId w:val="0"/>
        </w:numPr>
        <w:tabs>
          <w:tab w:val="left" w:pos="1242"/>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3.1.7应当派专人负责做好业务开通的各项准备工作，包括但不限于：</w:t>
      </w:r>
    </w:p>
    <w:p w14:paraId="65CF5946">
      <w:pPr>
        <w:tabs>
          <w:tab w:val="left" w:pos="1183"/>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（1）业务开通前期的组织、协调工作。</w:t>
      </w:r>
    </w:p>
    <w:p w14:paraId="5BC82F42">
      <w:pPr>
        <w:tabs>
          <w:tab w:val="left" w:pos="1183"/>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（2）无偿提供机房，并做好接入设备及安装场地的准备。</w:t>
      </w:r>
    </w:p>
    <w:p w14:paraId="4E251322">
      <w:pPr>
        <w:tabs>
          <w:tab w:val="left" w:pos="1183"/>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（3）保证相关机构、人员、物业等业务各方配合乙方的业务开通调测工作。</w:t>
      </w:r>
    </w:p>
    <w:p w14:paraId="7C8AFD3B">
      <w:pPr>
        <w:tabs>
          <w:tab w:val="left" w:pos="1189"/>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（4）根据接入服务的需要，调配和预留各接入场所内配线室至安装地点的通信线路。</w:t>
      </w:r>
    </w:p>
    <w:p w14:paraId="7612987A">
      <w:pPr>
        <w:tabs>
          <w:tab w:val="left" w:pos="1183"/>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（5）提供有UPS保障的220V稳定电源，供乙方设备使用，并承担设备的用电费用。</w:t>
      </w:r>
    </w:p>
    <w:p w14:paraId="54077CBD">
      <w:pPr>
        <w:numPr>
          <w:ilvl w:val="2"/>
          <w:numId w:val="0"/>
        </w:numPr>
        <w:tabs>
          <w:tab w:val="left" w:pos="1278"/>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3.1.8应当承担因甲方原因造成的本业务迟延开通的责任，该情况视为本业务已经按时开通。</w:t>
      </w:r>
    </w:p>
    <w:p w14:paraId="077B1D83">
      <w:pPr>
        <w:numPr>
          <w:ilvl w:val="2"/>
          <w:numId w:val="0"/>
        </w:numPr>
        <w:tabs>
          <w:tab w:val="left" w:pos="1278"/>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3.1.9使用乙方提供的互联网专线业务，应当遵守国家相关的法律策规定，如甲方在使用本业务时存在违反国家法律或相关规定的行为，甲方承担由此产生的全部责任；同时，甲方应当向乙方承担违约责任，并赔偿乙方由此遭受的损失。</w:t>
      </w:r>
    </w:p>
    <w:p w14:paraId="287F65CB">
      <w:pPr>
        <w:numPr>
          <w:ilvl w:val="2"/>
          <w:numId w:val="0"/>
        </w:numPr>
        <w:tabs>
          <w:tab w:val="left" w:pos="1278"/>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3.1.10不得在使用的互联网专线及设备上加装其他各种设备及装置。</w:t>
      </w:r>
    </w:p>
    <w:p w14:paraId="5CC6B99A">
      <w:pPr>
        <w:numPr>
          <w:ilvl w:val="2"/>
          <w:numId w:val="0"/>
        </w:numPr>
        <w:tabs>
          <w:tab w:val="left" w:pos="1362"/>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3.1.11应当积极配合乙方对使用互联网专线的日常维护、检测等工作，并负责其机房线路设备侧专线的维护管理。</w:t>
      </w:r>
    </w:p>
    <w:p w14:paraId="4B6592D7">
      <w:pPr>
        <w:numPr>
          <w:ilvl w:val="2"/>
          <w:numId w:val="0"/>
        </w:numPr>
        <w:tabs>
          <w:tab w:val="left" w:pos="1424"/>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3.1.12不得利用乙方提供的互联网接入业务经营甲方不具备资质的其他电信业务。不得将互联网专线以任何方式（包括但不限于私拉光纤进行转接、建立VPN隧道等手段）为任何第三方提供穿透流量接入。除骨干核心正常互联互通点之外，甲方的任何网络节点不得有其他运营商和互联单位等的穿透流量接入，包括但不限于乙方上级以及乙方系统监测到的违规IP地址接入。</w:t>
      </w:r>
    </w:p>
    <w:p w14:paraId="3D3826E0">
      <w:pPr>
        <w:numPr>
          <w:ilvl w:val="2"/>
          <w:numId w:val="0"/>
        </w:numPr>
        <w:tabs>
          <w:tab w:val="left" w:pos="1362"/>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3.1.13甲方从事非经营性互联网信息服务的，应当严格遵循《非经营性互联网备案管理办法》之规定，不能接入未备案网站；甲方应当对备案网站用户信息进行动态维护和更新，并定期向乙方报送网站信息和变更信息；乙方提供的互联网接入业务默认关闭提供互联网信息服务的常用端口（80端口、8080端口、443端口）。甲方承诺并确认：甲方所提交的所有备案信息真实有效，当提供的备案信息发生变化时应当及时向乙方提交更新信息，如因未及时更新而导致备案信息不准确的，乙方有权依法采取断开网络接入等关停处置措施。</w:t>
      </w:r>
    </w:p>
    <w:p w14:paraId="2D4192CF">
      <w:pPr>
        <w:numPr>
          <w:ilvl w:val="2"/>
          <w:numId w:val="0"/>
        </w:numPr>
        <w:tabs>
          <w:tab w:val="left" w:pos="1424"/>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3.1.14甲方承诺遵守附件二《用户入网责任书》和附件三《网络及信息安全承诺书》相关内容。</w:t>
      </w:r>
    </w:p>
    <w:p w14:paraId="35BC8F56">
      <w:pPr>
        <w:numPr>
          <w:ilvl w:val="1"/>
          <w:numId w:val="0"/>
        </w:numPr>
        <w:tabs>
          <w:tab w:val="left" w:pos="1002"/>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3.2乙方权利和义务</w:t>
      </w:r>
    </w:p>
    <w:p w14:paraId="021F799B">
      <w:pPr>
        <w:numPr>
          <w:ilvl w:val="2"/>
          <w:numId w:val="0"/>
        </w:numPr>
        <w:tabs>
          <w:tab w:val="left" w:pos="1278"/>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3.2.1视甲方为全国集团客户，提供综合性服务，并为甲方提供业务咨询、组网建议等服务。</w:t>
      </w:r>
    </w:p>
    <w:p w14:paraId="3BDBB9CC">
      <w:pPr>
        <w:numPr>
          <w:ilvl w:val="2"/>
          <w:numId w:val="0"/>
        </w:numPr>
        <w:tabs>
          <w:tab w:val="left" w:pos="1242"/>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3.2.2负责进行本业务的连接、调通、测试。</w:t>
      </w:r>
    </w:p>
    <w:p w14:paraId="12E4A065">
      <w:pPr>
        <w:numPr>
          <w:ilvl w:val="2"/>
          <w:numId w:val="0"/>
        </w:numPr>
        <w:tabs>
          <w:tab w:val="left" w:pos="1278"/>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3.2.3在资源具备，且甲方交付了本合同约定的一次性费用后，根据双方协商的开通时间开通使用业务。</w:t>
      </w:r>
    </w:p>
    <w:p w14:paraId="43D87BAD">
      <w:pPr>
        <w:numPr>
          <w:ilvl w:val="2"/>
          <w:numId w:val="0"/>
        </w:numPr>
        <w:tabs>
          <w:tab w:val="left" w:pos="1278"/>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3.2.4由于乙方端口、设备资源暂未具备等原因而未及时开通本业务的，乙方有责任协调相关部门尽快开通本业务。</w:t>
      </w:r>
    </w:p>
    <w:p w14:paraId="29445397">
      <w:pPr>
        <w:numPr>
          <w:ilvl w:val="2"/>
          <w:numId w:val="0"/>
        </w:numPr>
        <w:tabs>
          <w:tab w:val="left" w:pos="1278"/>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3.2.5负责处理在接入和使用业务过程中出现的技术故障，乙方和乙方当地下属机构有义务接受甲方申告并负责处理。</w:t>
      </w:r>
    </w:p>
    <w:p w14:paraId="566248BE">
      <w:pPr>
        <w:numPr>
          <w:ilvl w:val="2"/>
          <w:numId w:val="0"/>
        </w:numPr>
        <w:tabs>
          <w:tab w:val="left" w:pos="1278"/>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3.2.6对所投资的线路和设备拥有所有权。服务期内，甲方对乙方提供的线路和设备有保管责任。若由于甲方原因造成该等线路或设备损坏的，甲方应当按价赔偿。</w:t>
      </w:r>
    </w:p>
    <w:p w14:paraId="033B4AFF">
      <w:pPr>
        <w:wordWrap w:val="0"/>
        <w:spacing w:line="360" w:lineRule="auto"/>
        <w:outlineLvl w:val="1"/>
        <w:rPr>
          <w:rFonts w:hint="eastAsia" w:ascii="宋体" w:hAnsi="宋体" w:eastAsia="宋体" w:cs="宋体"/>
          <w:b/>
          <w:sz w:val="24"/>
          <w:szCs w:val="24"/>
        </w:rPr>
      </w:pPr>
      <w:r>
        <w:rPr>
          <w:rFonts w:hint="eastAsia" w:ascii="宋体" w:hAnsi="宋体" w:eastAsia="宋体" w:cs="宋体"/>
          <w:b/>
          <w:sz w:val="24"/>
          <w:szCs w:val="24"/>
        </w:rPr>
        <w:t>第四条业务的开通</w:t>
      </w:r>
    </w:p>
    <w:p w14:paraId="1F4467A7">
      <w:pPr>
        <w:numPr>
          <w:ilvl w:val="1"/>
          <w:numId w:val="0"/>
        </w:numPr>
        <w:tabs>
          <w:tab w:val="left" w:pos="1038"/>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4.1业务开通是指甲乙双方商定的接口点外侧（中国电信网侧）到中国电信城域网IP接入端口间的电路全程测通。乙方不负责甲方客户端网络设备的调测。</w:t>
      </w:r>
    </w:p>
    <w:p w14:paraId="70232385">
      <w:pPr>
        <w:numPr>
          <w:ilvl w:val="1"/>
          <w:numId w:val="0"/>
        </w:numPr>
        <w:tabs>
          <w:tab w:val="left" w:pos="1002"/>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4.2业务开通后，乙方或委托乙方下属机构向甲方提供业务竣工单。</w:t>
      </w:r>
    </w:p>
    <w:p w14:paraId="1B3381CF">
      <w:pPr>
        <w:numPr>
          <w:ilvl w:val="2"/>
          <w:numId w:val="0"/>
        </w:numPr>
        <w:tabs>
          <w:tab w:val="left" w:pos="1278"/>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4.2.1甲方应当在收到乙方业务竣工单后五日内验收核实，本业务确已根据本合同约定和国家有关电信业务规定开通的，甲方应当签字或盖章确认。本业务实际开通日，以乙方或乙方代表与开通地点的甲方代表签字或盖章确认的日期为准。</w:t>
      </w:r>
    </w:p>
    <w:p w14:paraId="2EBD19A9">
      <w:pPr>
        <w:numPr>
          <w:ilvl w:val="2"/>
          <w:numId w:val="0"/>
        </w:numPr>
        <w:tabs>
          <w:tab w:val="left" w:pos="1278"/>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4.2.2若甲方在收到乙方业务竣工单后五日内未签字或盖章确认、也未书面提出异议的，视为乙方已按照本合同约定和国家有关电信业务规定开通使用业务,业务竣工单载明的实际开通日期为使用业务的实际开通日。</w:t>
      </w:r>
    </w:p>
    <w:p w14:paraId="66ECD26D">
      <w:pPr>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4.3乙方自实际开通日起开始对使用业务计收月使用费。</w:t>
      </w:r>
    </w:p>
    <w:p w14:paraId="6D59F86E">
      <w:pPr>
        <w:tabs>
          <w:tab w:val="left" w:pos="1002"/>
        </w:tabs>
        <w:wordWrap w:val="0"/>
        <w:spacing w:line="360" w:lineRule="auto"/>
        <w:outlineLvl w:val="1"/>
        <w:rPr>
          <w:rFonts w:hint="eastAsia" w:ascii="宋体" w:hAnsi="宋体" w:eastAsia="宋体" w:cs="宋体"/>
          <w:b/>
          <w:sz w:val="24"/>
          <w:szCs w:val="24"/>
        </w:rPr>
      </w:pPr>
      <w:r>
        <w:rPr>
          <w:rFonts w:hint="eastAsia" w:ascii="宋体" w:hAnsi="宋体" w:eastAsia="宋体" w:cs="宋体"/>
          <w:b/>
          <w:sz w:val="24"/>
          <w:szCs w:val="24"/>
        </w:rPr>
        <w:t>第五条终止业务服务</w:t>
      </w:r>
    </w:p>
    <w:p w14:paraId="0FF3A722">
      <w:pPr>
        <w:numPr>
          <w:ilvl w:val="1"/>
          <w:numId w:val="0"/>
        </w:numPr>
        <w:tabs>
          <w:tab w:val="left" w:pos="1038"/>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5.1甲方终止使用业务，应当提前三十日以书面形式通知乙方。终止服务时间以甲方向乙方发出的终止服务通知载明的时间为准，但最短不少于乙方收到甲方终止服务通知后的三十日。如果甲方的终止服务通知中载明的时间少于三十日，则终止服务时间为乙方收到甲方终止服务通知的第三十一日。</w:t>
      </w:r>
    </w:p>
    <w:p w14:paraId="09A63D0A">
      <w:pPr>
        <w:numPr>
          <w:ilvl w:val="1"/>
          <w:numId w:val="0"/>
        </w:numPr>
        <w:tabs>
          <w:tab w:val="left" w:pos="1002"/>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5.2甲方终止服务时应当按照本合同第6.2条结算并付清全部费用。</w:t>
      </w:r>
    </w:p>
    <w:p w14:paraId="120C174F">
      <w:pPr>
        <w:numPr>
          <w:ilvl w:val="1"/>
          <w:numId w:val="0"/>
        </w:numPr>
        <w:tabs>
          <w:tab w:val="left" w:pos="1038"/>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5.3如甲方在本合同约定的期限内提前终止服务的，甲方应当在终止服务前向乙方补交剩余服务期对应服务费用的10%作为违约金。</w:t>
      </w:r>
    </w:p>
    <w:p w14:paraId="343B5DB1">
      <w:pPr>
        <w:keepNext/>
        <w:keepLines/>
        <w:wordWrap w:val="0"/>
        <w:spacing w:line="360" w:lineRule="auto"/>
        <w:outlineLvl w:val="1"/>
        <w:rPr>
          <w:rFonts w:hint="eastAsia" w:ascii="宋体" w:hAnsi="宋体" w:eastAsia="宋体" w:cs="宋体"/>
          <w:b/>
          <w:color w:val="000000"/>
          <w:sz w:val="24"/>
          <w:szCs w:val="24"/>
        </w:rPr>
      </w:pPr>
      <w:r>
        <w:rPr>
          <w:rFonts w:hint="eastAsia" w:ascii="宋体" w:hAnsi="宋体" w:eastAsia="宋体" w:cs="宋体"/>
          <w:b/>
          <w:color w:val="000000"/>
          <w:sz w:val="24"/>
          <w:szCs w:val="24"/>
        </w:rPr>
        <w:t>第六条费用及支付</w:t>
      </w:r>
    </w:p>
    <w:p w14:paraId="53FB4730">
      <w:pPr>
        <w:numPr>
          <w:ilvl w:val="1"/>
          <w:numId w:val="0"/>
        </w:numPr>
        <w:tabs>
          <w:tab w:val="left" w:pos="1002"/>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6.1甲方使用业务的相关费用包括一次性费用和月使用费。</w:t>
      </w:r>
    </w:p>
    <w:p w14:paraId="7064A4CA">
      <w:pPr>
        <w:tabs>
          <w:tab w:val="left" w:pos="3581"/>
        </w:tabs>
        <w:wordWrap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（费用或资费标准见附件一，相关费用为含税价。）</w:t>
      </w:r>
    </w:p>
    <w:p w14:paraId="43B5A2E1">
      <w:pPr>
        <w:numPr>
          <w:ilvl w:val="1"/>
          <w:numId w:val="0"/>
        </w:numPr>
        <w:tabs>
          <w:tab w:val="left" w:pos="1038"/>
          <w:tab w:val="left" w:pos="5357"/>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6.2甲方使用业务产生的本合同费用，以</w:t>
      </w:r>
      <w:r>
        <w:rPr>
          <w:rFonts w:hint="eastAsia" w:ascii="宋体" w:hAnsi="宋体" w:eastAsia="宋体" w:cs="宋体"/>
          <w:color w:val="FF0000"/>
          <w:sz w:val="24"/>
          <w:szCs w:val="24"/>
        </w:rPr>
        <w:t>[</w:t>
      </w:r>
      <w:r>
        <w:rPr>
          <w:rFonts w:hint="eastAsia" w:ascii="宋体" w:hAnsi="宋体" w:eastAsia="宋体" w:cs="宋体"/>
          <w:color w:val="FF0000"/>
          <w:sz w:val="24"/>
          <w:szCs w:val="24"/>
        </w:rPr>
        <w:tab/>
      </w:r>
      <w:r>
        <w:rPr>
          <w:rFonts w:hint="eastAsia" w:ascii="宋体" w:hAnsi="宋体" w:eastAsia="宋体" w:cs="宋体"/>
          <w:color w:val="FF0000"/>
          <w:sz w:val="24"/>
          <w:szCs w:val="24"/>
        </w:rPr>
        <w:t>]</w:t>
      </w:r>
      <w:r>
        <w:rPr>
          <w:rFonts w:hint="eastAsia" w:ascii="宋体" w:hAnsi="宋体" w:eastAsia="宋体" w:cs="宋体"/>
          <w:sz w:val="24"/>
          <w:szCs w:val="24"/>
        </w:rPr>
        <w:t>(银行转账、银行托收或现金支付)向乙方支付。</w:t>
      </w:r>
    </w:p>
    <w:p w14:paraId="0AEE9E1E">
      <w:pPr>
        <w:tabs>
          <w:tab w:val="left" w:pos="1661"/>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甲乙双方银行账户信息和纳税人信息如下：甲方：</w:t>
      </w:r>
    </w:p>
    <w:p w14:paraId="13D840FE">
      <w:pPr>
        <w:tabs>
          <w:tab w:val="left" w:pos="1661"/>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开户行：[</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w:t>
      </w:r>
    </w:p>
    <w:p w14:paraId="22F835A2">
      <w:pPr>
        <w:tabs>
          <w:tab w:val="left" w:pos="1661"/>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银行地址：[</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w:t>
      </w:r>
    </w:p>
    <w:p w14:paraId="16686884">
      <w:pPr>
        <w:tabs>
          <w:tab w:val="left" w:pos="1661"/>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户名：[</w:t>
      </w:r>
      <w:r>
        <w:rPr>
          <w:rFonts w:hint="eastAsia" w:ascii="宋体" w:hAnsi="宋体" w:eastAsia="宋体" w:cs="宋体"/>
          <w:sz w:val="24"/>
          <w:szCs w:val="24"/>
        </w:rPr>
        <w:tab/>
      </w:r>
      <w:r>
        <w:rPr>
          <w:rFonts w:hint="eastAsia" w:ascii="宋体" w:hAnsi="宋体" w:eastAsia="宋体" w:cs="宋体"/>
          <w:sz w:val="24"/>
          <w:szCs w:val="24"/>
        </w:rPr>
        <w:t>]</w:t>
      </w:r>
    </w:p>
    <w:p w14:paraId="2E854907">
      <w:pPr>
        <w:tabs>
          <w:tab w:val="left" w:pos="1661"/>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账号：[</w:t>
      </w:r>
      <w:r>
        <w:rPr>
          <w:rFonts w:hint="eastAsia" w:ascii="宋体" w:hAnsi="宋体" w:eastAsia="宋体" w:cs="宋体"/>
          <w:sz w:val="24"/>
          <w:szCs w:val="24"/>
        </w:rPr>
        <w:tab/>
      </w:r>
      <w:r>
        <w:rPr>
          <w:rFonts w:hint="eastAsia" w:ascii="宋体" w:hAnsi="宋体" w:eastAsia="宋体" w:cs="宋体"/>
          <w:sz w:val="24"/>
          <w:szCs w:val="24"/>
        </w:rPr>
        <w:t>]</w:t>
      </w:r>
    </w:p>
    <w:p w14:paraId="43B0A38A">
      <w:pPr>
        <w:tabs>
          <w:tab w:val="left" w:pos="1661"/>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rPr>
        <w:tab/>
      </w:r>
      <w:r>
        <w:rPr>
          <w:rFonts w:hint="eastAsia" w:ascii="宋体" w:hAnsi="宋体" w:eastAsia="宋体" w:cs="宋体"/>
          <w:sz w:val="24"/>
          <w:szCs w:val="24"/>
        </w:rPr>
        <w:t>]</w:t>
      </w:r>
    </w:p>
    <w:p w14:paraId="49C07A00">
      <w:pPr>
        <w:tabs>
          <w:tab w:val="left" w:pos="1661"/>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乙方：</w:t>
      </w:r>
    </w:p>
    <w:p w14:paraId="0E40AF52">
      <w:pPr>
        <w:tabs>
          <w:tab w:val="left" w:pos="1661"/>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开户行：</w:t>
      </w:r>
    </w:p>
    <w:p w14:paraId="5C2408FA">
      <w:pPr>
        <w:tabs>
          <w:tab w:val="left" w:pos="1661"/>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银行地址：</w:t>
      </w:r>
    </w:p>
    <w:p w14:paraId="2B97DA3C">
      <w:pPr>
        <w:tabs>
          <w:tab w:val="left" w:pos="1661"/>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户名：</w:t>
      </w:r>
    </w:p>
    <w:p w14:paraId="07EB39FF">
      <w:pPr>
        <w:tabs>
          <w:tab w:val="left" w:pos="1661"/>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账号：</w:t>
      </w:r>
    </w:p>
    <w:p w14:paraId="0F8454E3">
      <w:pPr>
        <w:tabs>
          <w:tab w:val="left" w:pos="1661"/>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w:t>
      </w:r>
    </w:p>
    <w:p w14:paraId="5100BAA1">
      <w:pPr>
        <w:tabs>
          <w:tab w:val="left" w:pos="1661"/>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6.3一次性费用：甲方根据乙方的一次性费用预收费通知单向乙方缴纳一次性费用。前述费用为预收费用。待使用业务开通后，以实际发生的费用为准进行结算。若结算费用与预收费用有差异，则根据结算通知单进行调整。</w:t>
      </w:r>
    </w:p>
    <w:p w14:paraId="53F5E947">
      <w:pPr>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6.4月使用费：双方约定费用按照以下第[2]种付费方式执行。</w:t>
      </w:r>
    </w:p>
    <w:p w14:paraId="274061AC">
      <w:pPr>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（1）按月支付</w:t>
      </w:r>
    </w:p>
    <w:p w14:paraId="79C48BDB">
      <w:pPr>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按月缴费。甲方须在每月[  ]日前，向乙方或乙方下属机构预交下月的费用。</w:t>
      </w:r>
    </w:p>
    <w:p w14:paraId="18FB1D0A">
      <w:pPr>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（2）按年支付</w:t>
      </w:r>
    </w:p>
    <w:p w14:paraId="7AA40E06">
      <w:pPr>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按年缴费。甲方应于每年[2]月前，向乙方或乙方下属机构预交12个月的费用。</w:t>
      </w:r>
    </w:p>
    <w:p w14:paraId="79735847">
      <w:pPr>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（3）其他方式</w:t>
      </w:r>
    </w:p>
    <w:p w14:paraId="1D5A5424">
      <w:pPr>
        <w:wordWrap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sz w:val="24"/>
          <w:szCs w:val="24"/>
        </w:rPr>
        <w:t>[无]。</w:t>
      </w:r>
    </w:p>
    <w:p w14:paraId="269E6B1B">
      <w:pPr>
        <w:tabs>
          <w:tab w:val="left" w:pos="1061"/>
        </w:tabs>
        <w:wordWrap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缴纳费用后，乙方或乙方指定下属机构向甲方开具相应金额的符合国家规定</w:t>
      </w:r>
    </w:p>
    <w:p w14:paraId="410492BD">
      <w:pPr>
        <w:tabs>
          <w:tab w:val="left" w:pos="1061"/>
        </w:tabs>
        <w:wordWrap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的票据或增值税专用发票/增值税普通发票（必选）</w:t>
      </w:r>
    </w:p>
    <w:p w14:paraId="6F87CB0E">
      <w:pPr>
        <w:tabs>
          <w:tab w:val="left" w:pos="1661"/>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6.5本业务开通首月月使用费：对于当月15日之前开通的新业务，甲方向乙方支付全月使用费；对于当月15日后（含）开通的业务，甲方按照应付月使用费的百分之五十向乙方付费。</w:t>
      </w:r>
    </w:p>
    <w:p w14:paraId="68606FCA">
      <w:pPr>
        <w:tabs>
          <w:tab w:val="left" w:pos="1661"/>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6.6在当月15日之前（含）终止服务的业务，甲方按照应付月使用费的百分之五十向乙方付费；在当月15日之后终止服务的，甲方缴纳全月月使用费。</w:t>
      </w:r>
    </w:p>
    <w:p w14:paraId="322549FE">
      <w:pPr>
        <w:tabs>
          <w:tab w:val="left" w:pos="1661"/>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6.7甲方如对费用有异议，经双方确认核对后确有错误的，在下个付费期调整。</w:t>
      </w:r>
    </w:p>
    <w:p w14:paraId="2F8DDA1A">
      <w:pPr>
        <w:tabs>
          <w:tab w:val="left" w:pos="1661"/>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6.8若甲方存在欠费情况的，不论乙方开具发票和收费通知单的具体时间，乙方每次收到甲方付款按照甲方欠费的先后顺序自动抵充先到期的欠费，直至抵缴完毕。</w:t>
      </w:r>
    </w:p>
    <w:p w14:paraId="6A9A2386">
      <w:pPr>
        <w:keepNext/>
        <w:keepLines/>
        <w:wordWrap w:val="0"/>
        <w:spacing w:line="360" w:lineRule="auto"/>
        <w:outlineLvl w:val="1"/>
        <w:rPr>
          <w:rFonts w:hint="eastAsia" w:ascii="宋体" w:hAnsi="宋体" w:eastAsia="宋体" w:cs="宋体"/>
          <w:b/>
          <w:sz w:val="24"/>
          <w:szCs w:val="24"/>
        </w:rPr>
      </w:pPr>
      <w:r>
        <w:rPr>
          <w:rFonts w:hint="eastAsia" w:ascii="宋体" w:hAnsi="宋体" w:eastAsia="宋体" w:cs="宋体"/>
          <w:b/>
          <w:sz w:val="24"/>
          <w:szCs w:val="24"/>
        </w:rPr>
        <w:t>第七条通信和服务质量</w:t>
      </w:r>
    </w:p>
    <w:p w14:paraId="0D00FF3D">
      <w:pPr>
        <w:numPr>
          <w:ilvl w:val="1"/>
          <w:numId w:val="0"/>
        </w:numPr>
        <w:tabs>
          <w:tab w:val="left" w:pos="1038"/>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7.1双方承诺严格遵守《中华人民共和国电信条例》等国家有关法律法规履行本合同，维护双方权益。</w:t>
      </w:r>
    </w:p>
    <w:p w14:paraId="2842BAC0">
      <w:pPr>
        <w:numPr>
          <w:ilvl w:val="1"/>
          <w:numId w:val="0"/>
        </w:numPr>
        <w:tabs>
          <w:tab w:val="left" w:pos="1038"/>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7.2乙方按国家主管部门颁布的电信服务标准和电路质量要求提供服务，保证使用的业务畅通。</w:t>
      </w:r>
    </w:p>
    <w:p w14:paraId="0727F427">
      <w:pPr>
        <w:numPr>
          <w:ilvl w:val="1"/>
          <w:numId w:val="0"/>
        </w:numPr>
        <w:tabs>
          <w:tab w:val="left" w:pos="1038"/>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7.3若本合同履行期间，国家颁布新的法律法规和服务标准，则自新的法律法规和服务标准生效之日起按照新的法律法规和服务标准执行。</w:t>
      </w:r>
    </w:p>
    <w:p w14:paraId="5F734577">
      <w:pPr>
        <w:numPr>
          <w:ilvl w:val="1"/>
          <w:numId w:val="0"/>
        </w:numPr>
        <w:tabs>
          <w:tab w:val="left" w:pos="1038"/>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7.4故障申告采取“就近申告、首问负责”的原则。甲方向乙方下属机构就近申告，乙方下属机构实行“首问负责制”，向甲方提供及时的服务，负责故障的处理。</w:t>
      </w:r>
    </w:p>
    <w:p w14:paraId="79CDFA3A">
      <w:pPr>
        <w:numPr>
          <w:ilvl w:val="1"/>
          <w:numId w:val="0"/>
        </w:numPr>
        <w:tabs>
          <w:tab w:val="left" w:pos="1038"/>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7.5由于甲方自备设备故障或甲方操作不当造成的故障，甲方自行承担责任，并赔偿乙方由此遭受的损失。</w:t>
      </w:r>
    </w:p>
    <w:p w14:paraId="11DBF652">
      <w:pPr>
        <w:numPr>
          <w:ilvl w:val="1"/>
          <w:numId w:val="0"/>
        </w:numPr>
        <w:tabs>
          <w:tab w:val="left" w:pos="1038"/>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7.6因乙方施工、网络割接等原因影响本业务的正常使用的，乙方应当提前通知甲方，并且尽快消除故障、恢复业务。</w:t>
      </w:r>
    </w:p>
    <w:p w14:paraId="3555C828">
      <w:pPr>
        <w:numPr>
          <w:ilvl w:val="1"/>
          <w:numId w:val="0"/>
        </w:numPr>
        <w:tabs>
          <w:tab w:val="left" w:pos="1038"/>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7.7如乙方因国防需要、政府指令、网络维护、网络调整、网络安全等因素在网络上对服务进行更改或变动，乙方应当提前通知甲方，甲方应当予配合。</w:t>
      </w:r>
    </w:p>
    <w:p w14:paraId="3C0A778C">
      <w:pPr>
        <w:numPr>
          <w:ilvl w:val="1"/>
          <w:numId w:val="0"/>
        </w:numPr>
        <w:tabs>
          <w:tab w:val="left" w:pos="1002"/>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7.8双方同意建立协商制度，加强日常沟通，及时处理影响通信质量的问题。</w:t>
      </w:r>
    </w:p>
    <w:p w14:paraId="5C1E203A">
      <w:pPr>
        <w:numPr>
          <w:ilvl w:val="1"/>
          <w:numId w:val="0"/>
        </w:numPr>
        <w:tabs>
          <w:tab w:val="left" w:pos="1002"/>
        </w:tabs>
        <w:wordWrap w:val="0"/>
        <w:spacing w:line="360" w:lineRule="auto"/>
        <w:outlineLvl w:val="1"/>
        <w:rPr>
          <w:rFonts w:hint="eastAsia" w:ascii="宋体" w:hAnsi="宋体" w:eastAsia="宋体" w:cs="宋体"/>
          <w:b/>
          <w:sz w:val="24"/>
          <w:szCs w:val="24"/>
        </w:rPr>
      </w:pPr>
      <w:r>
        <w:rPr>
          <w:rFonts w:hint="eastAsia" w:ascii="宋体" w:hAnsi="宋体" w:eastAsia="宋体" w:cs="宋体"/>
          <w:b/>
          <w:sz w:val="24"/>
          <w:szCs w:val="24"/>
        </w:rPr>
        <w:t>第八条保密</w:t>
      </w:r>
    </w:p>
    <w:p w14:paraId="1F278AB0">
      <w:pPr>
        <w:numPr>
          <w:ilvl w:val="1"/>
          <w:numId w:val="0"/>
        </w:numPr>
        <w:tabs>
          <w:tab w:val="left" w:pos="1038"/>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8.1未经对方书面许可，任何一方不得向第三方提供或者披露因本合同的签订和履行而得知的与对方业务有关的资料和信息，法律、法规、规章或监管要求另有</w:t>
      </w:r>
    </w:p>
    <w:p w14:paraId="5B31F7C0">
      <w:pPr>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规定或本合同另有约定的除外。乙方向其关联公司提供或披露与甲方业务有关的资料和信息的，不受此限。</w:t>
      </w:r>
    </w:p>
    <w:p w14:paraId="1F053C74">
      <w:pPr>
        <w:tabs>
          <w:tab w:val="left" w:pos="1002"/>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8.2本保密条款在服务期内及服务终止后二年之内持续有效。</w:t>
      </w:r>
    </w:p>
    <w:p w14:paraId="74490CFE">
      <w:pPr>
        <w:tabs>
          <w:tab w:val="left" w:pos="1002"/>
        </w:tabs>
        <w:wordWrap w:val="0"/>
        <w:spacing w:line="360" w:lineRule="auto"/>
        <w:outlineLvl w:val="1"/>
        <w:rPr>
          <w:rFonts w:hint="eastAsia" w:ascii="宋体" w:hAnsi="宋体" w:eastAsia="宋体" w:cs="宋体"/>
          <w:b/>
          <w:sz w:val="24"/>
          <w:szCs w:val="24"/>
        </w:rPr>
      </w:pPr>
      <w:r>
        <w:rPr>
          <w:rFonts w:hint="eastAsia" w:ascii="宋体" w:hAnsi="宋体" w:eastAsia="宋体" w:cs="宋体"/>
          <w:b/>
          <w:sz w:val="24"/>
          <w:szCs w:val="24"/>
        </w:rPr>
        <w:t>第九条个人信息保护和数据安全</w:t>
      </w:r>
    </w:p>
    <w:p w14:paraId="55810119">
      <w:pPr>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为履行本合同，甲方委托乙方处理相关数据和个人信息的，双方同意按照本条约定执行：</w:t>
      </w:r>
    </w:p>
    <w:p w14:paraId="7F1FCABC">
      <w:pPr>
        <w:numPr>
          <w:ilvl w:val="1"/>
          <w:numId w:val="0"/>
        </w:numPr>
        <w:tabs>
          <w:tab w:val="left" w:pos="461"/>
          <w:tab w:val="left" w:pos="943"/>
          <w:tab w:val="left" w:pos="2981"/>
          <w:tab w:val="left" w:pos="7061"/>
        </w:tabs>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9.1个人信息种类：[为办理本业务所提供的企业资质信息等证明文件]；处理数据和个人信息的期限为：[与本合同期限保持一致];处理方式为：[收集、存储、使用、加工、传输、提供、公开、删除等]以及本合同约定的其他处理方式。</w:t>
      </w:r>
    </w:p>
    <w:p w14:paraId="79478698">
      <w:pPr>
        <w:numPr>
          <w:ilvl w:val="1"/>
          <w:numId w:val="0"/>
        </w:numPr>
        <w:tabs>
          <w:tab w:val="left" w:pos="943"/>
        </w:tabs>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9.2甲方保证，其委托乙方处理个人信息已经向个人信息主体履行了法定告知义务，并取得了其同意。甲方保证，其委托乙方处理的个人信息和数据来源合法合规，不存在违反法律法规、监管要求的情况。</w:t>
      </w:r>
    </w:p>
    <w:p w14:paraId="51F0A842">
      <w:pPr>
        <w:numPr>
          <w:ilvl w:val="1"/>
          <w:numId w:val="0"/>
        </w:numPr>
        <w:tabs>
          <w:tab w:val="left" w:pos="1062"/>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9.3双方均应当严格按照相关法律法规规定，采取措施确保个人信息处理活动符合法律、行政法规的规定，防止未经授权的访问以及个人信息和数据的泄露、篡改、丢失。</w:t>
      </w:r>
    </w:p>
    <w:p w14:paraId="7C8A1E27">
      <w:pPr>
        <w:numPr>
          <w:ilvl w:val="1"/>
          <w:numId w:val="0"/>
        </w:numPr>
        <w:tabs>
          <w:tab w:val="left" w:pos="943"/>
        </w:tabs>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9.4乙方有权对甲方提供的个人信息和数据来源合法合规性情况进行检查。对于乙方检查发现甲方个人信息和数据来源违反法律法规、监管要求，或者就其向乙方提供的个人信息未依法向个人履行法定告知义务、未取得个人同意，乙方有权要求甲方在一定期限内整改。如果甲方未按照乙方要求整改或整改未达到乙方的相关要求，乙方有权解除合同，且不承担赔偿责任；由此给乙方造成损失的，甲方应当全额赔偿。</w:t>
      </w:r>
    </w:p>
    <w:p w14:paraId="69B50A7B">
      <w:pPr>
        <w:numPr>
          <w:ilvl w:val="1"/>
          <w:numId w:val="0"/>
        </w:numPr>
        <w:tabs>
          <w:tab w:val="left" w:pos="1002"/>
        </w:tabs>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9.5甲方违反本合同及其附件个人信息保护和数据安全相关条款和相关法律法</w:t>
      </w:r>
    </w:p>
    <w:p w14:paraId="794F7D01">
      <w:pPr>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规、监管要求的，甲方应当承担一切民事、行政和刑事责任，如因此给个人信息主体、乙方或其他人造成任何损失的，甲方应当承担全部责任。</w:t>
      </w:r>
    </w:p>
    <w:p w14:paraId="15F6AC17">
      <w:pPr>
        <w:keepNext/>
        <w:keepLines/>
        <w:wordWrap w:val="0"/>
        <w:spacing w:line="360" w:lineRule="auto"/>
        <w:outlineLvl w:val="1"/>
        <w:rPr>
          <w:rFonts w:hint="eastAsia" w:ascii="宋体" w:hAnsi="宋体" w:eastAsia="宋体" w:cs="宋体"/>
          <w:b/>
          <w:sz w:val="24"/>
          <w:szCs w:val="24"/>
        </w:rPr>
      </w:pPr>
      <w:r>
        <w:rPr>
          <w:rFonts w:hint="eastAsia" w:ascii="宋体" w:hAnsi="宋体" w:eastAsia="宋体" w:cs="宋体"/>
          <w:b/>
          <w:sz w:val="24"/>
          <w:szCs w:val="24"/>
        </w:rPr>
        <w:t>第十条违约责任</w:t>
      </w:r>
    </w:p>
    <w:p w14:paraId="76C3C90C">
      <w:pPr>
        <w:numPr>
          <w:ilvl w:val="1"/>
          <w:numId w:val="0"/>
        </w:numPr>
        <w:tabs>
          <w:tab w:val="left" w:pos="1122"/>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10.1甲方使用本业务违反本合同约定的，包括但不限于在本合同签订时不具备开展业务所需的全部资质许可、未履行相关手续，或在服务期内丧失全部或部分资质许可的，将通信服务以转让或其他任何方式提供给第三方的，将通信服务用于本合同约定用途以外的其他用途，以及实施了任何违反国家法律法规的行为，乙方有权立即终止本合同，甲方应当支付已使用未缴纳的费用，及未履行部分费用总额[ ]%违约金；违约金不足以弥补损失的，甲方应当赔偿损失。</w:t>
      </w:r>
    </w:p>
    <w:p w14:paraId="1D82E779">
      <w:pPr>
        <w:numPr>
          <w:ilvl w:val="1"/>
          <w:numId w:val="0"/>
        </w:numPr>
        <w:tabs>
          <w:tab w:val="left" w:pos="1122"/>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10.2如果因甲方原因（域名劫持、网站被黑等情况除外），在同一个IP地址反复出现未备案网站或出现主体信息错误或与实际不符的情况的，乙方有权终止服务并将甲方列入黑名单，此后乙方有权不再受理甲方业务的申请。以上关停处置措施有可能导致甲方同一IP地址的其他网站也被关停。相关网站被关停的后果由甲方自行承担，甲方应当就该违约行为向乙方支付[10000]元违约金，并赔偿乙方的相应损失。</w:t>
      </w:r>
    </w:p>
    <w:p w14:paraId="4D7B04C7">
      <w:pPr>
        <w:numPr>
          <w:ilvl w:val="1"/>
          <w:numId w:val="0"/>
        </w:numPr>
        <w:tabs>
          <w:tab w:val="left" w:pos="1158"/>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10.3如甲方逾期付费，除补交欠费之外，每逾期一日应当按照所欠金额的[千分之三]支付违约金。逾期付费的，乙方有权暂停向甲方提供本服务直至终止本合同；同时，甲方还应当承担乙方因追讨欠费支出的各项费用（包括但不限于律师费、诉讼费、保全费、财产保全担保费等）。在欠费期间乙方有权不向甲方提供业务新装/开、续用/开、变更等服务。</w:t>
      </w:r>
    </w:p>
    <w:p w14:paraId="449E46DF">
      <w:pPr>
        <w:numPr>
          <w:ilvl w:val="1"/>
          <w:numId w:val="0"/>
        </w:numPr>
        <w:tabs>
          <w:tab w:val="left" w:pos="1184"/>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10.4在满足开通条件的情况下，如因乙方原因不能在本合同规定的开通时限内开通使用本业务，则每逾期一个工作日乙方应当向甲方赔付所收取的一次性费用的百分之一作为违约金，并在首月月使用费中直接抵扣扣除，赔付金额最多不超过首月月使用费。如逾期30个工作日仍不能开通，则甲方有权终止本合同。</w:t>
      </w:r>
    </w:p>
    <w:p w14:paraId="124B518A">
      <w:pPr>
        <w:numPr>
          <w:ilvl w:val="1"/>
          <w:numId w:val="0"/>
        </w:numPr>
        <w:tabs>
          <w:tab w:val="left" w:pos="1184"/>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10.5本合同履行过程中，如甲方发生以下任一情形的，乙方有权视情节严重程度采取中止或终止履行合同、解除合同等措施并不承担违约责任。如该情形导致第三方向乙方提出法律或行政程序，甲方应当负责解决。如该情形给乙方造成损失的，甲方应当全额赔偿：</w:t>
      </w:r>
    </w:p>
    <w:p w14:paraId="1EA2DC64">
      <w:pPr>
        <w:tabs>
          <w:tab w:val="left" w:pos="1183"/>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（1）被行政机关纳入“严重违法失信”名单；</w:t>
      </w:r>
    </w:p>
    <w:p w14:paraId="11648536">
      <w:pPr>
        <w:tabs>
          <w:tab w:val="left" w:pos="1183"/>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（2）被人民法院纳入“失信被执行人”名单；</w:t>
      </w:r>
    </w:p>
    <w:p w14:paraId="0E7D0C37">
      <w:pPr>
        <w:tabs>
          <w:tab w:val="left" w:pos="1183"/>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（3）被乙方（含乙方上级单位）纳入违规失信合作商名单；</w:t>
      </w:r>
    </w:p>
    <w:p w14:paraId="3706F2E6">
      <w:pPr>
        <w:tabs>
          <w:tab w:val="left" w:pos="1189"/>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如存在网络和信息安全违法、违规行为的，包括但不限于因网络和信息安全问题承担刑事责任或受到行政处罚，被列入各级公安机关的涉通讯信息诈骗违法犯罪高危自然人或法人名单、电信业务经营不良名单、失信名单等;</w:t>
      </w:r>
    </w:p>
    <w:p w14:paraId="7C55AC9B">
      <w:pPr>
        <w:tabs>
          <w:tab w:val="left" w:pos="1189"/>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（5）其他相关法律法规规定或有权机关认定的违法失信情形，以及可能导致合同履行风险或侵害乙方合法权益或声誉的违规失信情形。</w:t>
      </w:r>
    </w:p>
    <w:p w14:paraId="78B2717B">
      <w:pPr>
        <w:numPr>
          <w:ilvl w:val="1"/>
          <w:numId w:val="0"/>
        </w:numPr>
        <w:tabs>
          <w:tab w:val="left" w:pos="1184"/>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10.6无论本合同其他条款是否有任何相反的约定，乙方在本合同项下应当承担的责任不超过乙方最近2个月已经收取费用总额的1%；乙方对因本合同项下行为而导致的甲方或用户可得利益损失、商业信誉损失以及数据丢失或损坏等其他损失不承担责任。</w:t>
      </w:r>
    </w:p>
    <w:p w14:paraId="50D4535B">
      <w:pPr>
        <w:keepNext/>
        <w:keepLines/>
        <w:wordWrap w:val="0"/>
        <w:spacing w:line="360" w:lineRule="auto"/>
        <w:outlineLvl w:val="1"/>
        <w:rPr>
          <w:rFonts w:hint="eastAsia" w:ascii="宋体" w:hAnsi="宋体" w:eastAsia="宋体" w:cs="宋体"/>
          <w:b/>
          <w:sz w:val="24"/>
          <w:szCs w:val="24"/>
        </w:rPr>
      </w:pPr>
      <w:r>
        <w:rPr>
          <w:rFonts w:hint="eastAsia" w:ascii="宋体" w:hAnsi="宋体" w:eastAsia="宋体" w:cs="宋体"/>
          <w:b/>
          <w:sz w:val="24"/>
          <w:szCs w:val="24"/>
        </w:rPr>
        <w:t>第十一条法律适用和争议解决</w:t>
      </w:r>
    </w:p>
    <w:p w14:paraId="09B4A5C5">
      <w:pPr>
        <w:numPr>
          <w:ilvl w:val="1"/>
          <w:numId w:val="0"/>
        </w:numPr>
        <w:tabs>
          <w:tab w:val="left" w:pos="1122"/>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11.1本合同适用中华人民共和国法律。</w:t>
      </w:r>
    </w:p>
    <w:p w14:paraId="002007B9">
      <w:pPr>
        <w:numPr>
          <w:ilvl w:val="1"/>
          <w:numId w:val="0"/>
        </w:numPr>
        <w:tabs>
          <w:tab w:val="left" w:pos="1122"/>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11.2所有因本合同引起的或与本合同有关的任何争议通过双方友好协商解决。如果双方不能通过友好协商解决争议，则任何一方均可向乙方住所地有管辖权的人民法院起诉。</w:t>
      </w:r>
    </w:p>
    <w:p w14:paraId="66889AB3">
      <w:pPr>
        <w:numPr>
          <w:ilvl w:val="1"/>
          <w:numId w:val="0"/>
        </w:numPr>
        <w:tabs>
          <w:tab w:val="left" w:pos="1122"/>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11.3诉讼进行过程中，双方继续履行本合同未涉诉讼的其他部分。</w:t>
      </w:r>
    </w:p>
    <w:p w14:paraId="0C0FC6ED">
      <w:pPr>
        <w:numPr>
          <w:ilvl w:val="1"/>
          <w:numId w:val="0"/>
        </w:numPr>
        <w:tabs>
          <w:tab w:val="left" w:pos="1122"/>
        </w:tabs>
        <w:wordWrap w:val="0"/>
        <w:spacing w:line="360" w:lineRule="auto"/>
        <w:outlineLvl w:val="1"/>
        <w:rPr>
          <w:rFonts w:hint="eastAsia" w:ascii="宋体" w:hAnsi="宋体" w:eastAsia="宋体" w:cs="宋体"/>
          <w:b/>
          <w:sz w:val="24"/>
          <w:szCs w:val="24"/>
        </w:rPr>
      </w:pPr>
      <w:r>
        <w:rPr>
          <w:rFonts w:hint="eastAsia" w:ascii="宋体" w:hAnsi="宋体" w:eastAsia="宋体" w:cs="宋体"/>
          <w:b/>
          <w:sz w:val="24"/>
          <w:szCs w:val="24"/>
        </w:rPr>
        <w:t>第十二条不可抗力及免责</w:t>
      </w:r>
    </w:p>
    <w:p w14:paraId="3AD9AF2C">
      <w:pPr>
        <w:numPr>
          <w:ilvl w:val="1"/>
          <w:numId w:val="0"/>
        </w:numPr>
        <w:tabs>
          <w:tab w:val="left" w:pos="1122"/>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12.1如由于战争、骚乱、恐怖主义、自然灾害、国家法律法规或规章变动、网络安全、网络无法覆盖、停电、通信线路被人为破坏，导致甲乙双方或一方不能履行或不能完全履行本合同项下有关义务时，受影响方不承担违约责任，但应当尽快书面通知对方。在影响消除后的合理时间内，一方或双方应当继续履行合同。如因此导致合同不能或者没有必要继续履行的，本合同可由一方解除。</w:t>
      </w:r>
    </w:p>
    <w:p w14:paraId="61BF6B16">
      <w:pPr>
        <w:numPr>
          <w:ilvl w:val="1"/>
          <w:numId w:val="0"/>
        </w:numPr>
        <w:tabs>
          <w:tab w:val="left" w:pos="1122"/>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12.2如政府管理部门提出要求的，乙方暂停或终止提供相应服务，且不承担任何责任。</w:t>
      </w:r>
    </w:p>
    <w:p w14:paraId="018AE604">
      <w:pPr>
        <w:keepNext/>
        <w:keepLines/>
        <w:wordWrap w:val="0"/>
        <w:spacing w:line="360" w:lineRule="auto"/>
        <w:outlineLvl w:val="1"/>
        <w:rPr>
          <w:rFonts w:hint="eastAsia" w:ascii="宋体" w:hAnsi="宋体" w:eastAsia="宋体" w:cs="宋体"/>
          <w:b/>
          <w:color w:val="000000"/>
          <w:sz w:val="24"/>
          <w:szCs w:val="24"/>
        </w:rPr>
      </w:pPr>
      <w:r>
        <w:rPr>
          <w:rFonts w:hint="eastAsia" w:ascii="宋体" w:hAnsi="宋体" w:eastAsia="宋体" w:cs="宋体"/>
          <w:b/>
          <w:color w:val="000000"/>
          <w:sz w:val="24"/>
          <w:szCs w:val="24"/>
        </w:rPr>
        <w:t>第十三条服务期</w:t>
      </w:r>
    </w:p>
    <w:p w14:paraId="1699BE86">
      <w:pPr>
        <w:numPr>
          <w:ilvl w:val="1"/>
          <w:numId w:val="0"/>
        </w:numPr>
        <w:tabs>
          <w:tab w:val="left" w:pos="1122"/>
          <w:tab w:val="left" w:pos="3881"/>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13.1本合同确定的服务期为</w:t>
      </w:r>
      <w:r>
        <w:rPr>
          <w:rFonts w:hint="eastAsia" w:ascii="宋体" w:hAnsi="宋体" w:eastAsia="宋体" w:cs="宋体"/>
          <w:b/>
          <w:color w:val="FF0000"/>
          <w:sz w:val="24"/>
          <w:szCs w:val="24"/>
        </w:rPr>
        <w:t>[12</w:t>
      </w:r>
      <w:r>
        <w:rPr>
          <w:rFonts w:hint="eastAsia" w:ascii="宋体" w:hAnsi="宋体" w:eastAsia="宋体" w:cs="宋体"/>
          <w:b/>
          <w:color w:val="FF0000"/>
          <w:sz w:val="24"/>
          <w:szCs w:val="24"/>
        </w:rPr>
        <w:tab/>
      </w:r>
      <w:r>
        <w:rPr>
          <w:rFonts w:hint="eastAsia" w:ascii="宋体" w:hAnsi="宋体" w:eastAsia="宋体" w:cs="宋体"/>
          <w:b/>
          <w:color w:val="FF0000"/>
          <w:sz w:val="24"/>
          <w:szCs w:val="24"/>
        </w:rPr>
        <w:t>]</w:t>
      </w:r>
      <w:r>
        <w:rPr>
          <w:rFonts w:hint="eastAsia" w:ascii="宋体" w:hAnsi="宋体" w:eastAsia="宋体" w:cs="宋体"/>
          <w:sz w:val="24"/>
          <w:szCs w:val="24"/>
        </w:rPr>
        <w:t>个月，自服务实际开通之日起计算。</w:t>
      </w:r>
    </w:p>
    <w:p w14:paraId="5D0C843F">
      <w:pPr>
        <w:numPr>
          <w:ilvl w:val="1"/>
          <w:numId w:val="0"/>
        </w:numPr>
        <w:tabs>
          <w:tab w:val="left" w:pos="1122"/>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13.2除非任何一方在服务期届满前九十日书面通知另一方不再续展服务，否则服务期自动续展，续展的服务期与本合同服务期相同，续展次数不受限制。除非双方另有约定，本合同内容对于续展期仍有约束力。</w:t>
      </w:r>
    </w:p>
    <w:p w14:paraId="3E380660">
      <w:pPr>
        <w:keepNext/>
        <w:keepLines/>
        <w:wordWrap w:val="0"/>
        <w:spacing w:line="360" w:lineRule="auto"/>
        <w:outlineLvl w:val="1"/>
        <w:rPr>
          <w:rFonts w:hint="eastAsia" w:ascii="宋体" w:hAnsi="宋体" w:eastAsia="宋体" w:cs="宋体"/>
          <w:b/>
          <w:sz w:val="24"/>
          <w:szCs w:val="24"/>
        </w:rPr>
      </w:pPr>
      <w:r>
        <w:rPr>
          <w:rFonts w:hint="eastAsia" w:ascii="宋体" w:hAnsi="宋体" w:eastAsia="宋体" w:cs="宋体"/>
          <w:b/>
          <w:sz w:val="24"/>
          <w:szCs w:val="24"/>
        </w:rPr>
        <w:t>第十四条合同生效及其他</w:t>
      </w:r>
    </w:p>
    <w:p w14:paraId="0097B42E">
      <w:pPr>
        <w:numPr>
          <w:ilvl w:val="1"/>
          <w:numId w:val="0"/>
        </w:numPr>
        <w:tabs>
          <w:tab w:val="left" w:pos="1122"/>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14.1本合同纸质文本一式四份，甲乙双方各执二份，自双方签字盖章之日起生效；若使用电子印章的，自双方盖章之日起生效。</w:t>
      </w:r>
    </w:p>
    <w:p w14:paraId="72D3D14F">
      <w:pPr>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若乙方加盖电子印章的，以加盖乙方电子印章的本合同电子文档所载内容为准。</w:t>
      </w:r>
    </w:p>
    <w:p w14:paraId="229EEA45">
      <w:pPr>
        <w:numPr>
          <w:ilvl w:val="1"/>
          <w:numId w:val="0"/>
        </w:numPr>
        <w:tabs>
          <w:tab w:val="left" w:pos="1122"/>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14.2如果本合同的任何条款在任何时候变成不合法、无效或不可强制执行而不从根本上影响本合同的效力时，本合同的其他条款不受影响。</w:t>
      </w:r>
    </w:p>
    <w:p w14:paraId="69000FCB">
      <w:pPr>
        <w:numPr>
          <w:ilvl w:val="1"/>
          <w:numId w:val="0"/>
        </w:numPr>
        <w:tabs>
          <w:tab w:val="left" w:pos="1122"/>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14.3除本合同另有约定外，未经甲乙双方书面确认，任何一方不得自行变更或修改本合同。</w:t>
      </w:r>
    </w:p>
    <w:p w14:paraId="1429B50B">
      <w:pPr>
        <w:numPr>
          <w:ilvl w:val="1"/>
          <w:numId w:val="0"/>
        </w:numPr>
        <w:tabs>
          <w:tab w:val="left" w:pos="1122"/>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14.4本合同各条标题仅为提示之用，应当以条文内容确定各方的权利义务。</w:t>
      </w:r>
    </w:p>
    <w:p w14:paraId="402C6E04">
      <w:pPr>
        <w:numPr>
          <w:ilvl w:val="1"/>
          <w:numId w:val="0"/>
        </w:numPr>
        <w:tabs>
          <w:tab w:val="left" w:pos="1122"/>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14.5未得到对方的书面许可，一方均不得以广告或在公共场合使用或摹仿对方的商业名称、商标、图案、服务标志、符号、代码、型号或缩写，任何一方均不得声称对对方的商业名称、商标、图案、服务标志、符号、代码、型号或缩写拥有所有权。</w:t>
      </w:r>
    </w:p>
    <w:p w14:paraId="27D1DE4A">
      <w:pPr>
        <w:numPr>
          <w:ilvl w:val="1"/>
          <w:numId w:val="0"/>
        </w:numPr>
        <w:tabs>
          <w:tab w:val="left" w:pos="1122"/>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14.6本合同的任何内容不应当被视为或解释为双方之间具有合资、合伙、代理关系。</w:t>
      </w:r>
    </w:p>
    <w:p w14:paraId="230EB1EC">
      <w:pPr>
        <w:numPr>
          <w:ilvl w:val="1"/>
          <w:numId w:val="0"/>
        </w:numPr>
        <w:tabs>
          <w:tab w:val="left" w:pos="1122"/>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14.7本合同替代此前双方所有关于本合同事项的口头或书面的纪要、备忘录、合同和协议等法律文件。</w:t>
      </w:r>
    </w:p>
    <w:p w14:paraId="5C091C0C">
      <w:pPr>
        <w:numPr>
          <w:ilvl w:val="1"/>
          <w:numId w:val="0"/>
        </w:numPr>
        <w:tabs>
          <w:tab w:val="left" w:pos="1184"/>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14.8甲乙双方因履行本合同或与本合同有关的一切通知都应当按照本合同中的地址，以书面信函或者传真或者电子邮件方式进行。其中：</w:t>
      </w:r>
    </w:p>
    <w:p w14:paraId="47C18D1F">
      <w:pPr>
        <w:numPr>
          <w:ilvl w:val="2"/>
          <w:numId w:val="0"/>
        </w:numPr>
        <w:tabs>
          <w:tab w:val="left" w:pos="1362"/>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14.8.1除本合同另有约定外，有关下述任一事项的通知，均应当采用书面信函形式作出，否则，该通知无效，不产生本合同项下的任何通知效力：</w:t>
      </w:r>
    </w:p>
    <w:p w14:paraId="31CFB15A">
      <w:pPr>
        <w:tabs>
          <w:tab w:val="left" w:pos="1183"/>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（1）与本合同费用及支付事宜有关的通知；</w:t>
      </w:r>
    </w:p>
    <w:p w14:paraId="6FBB3E73">
      <w:pPr>
        <w:tabs>
          <w:tab w:val="left" w:pos="1183"/>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（2）与本合同违约事宜有关的通知；</w:t>
      </w:r>
    </w:p>
    <w:p w14:paraId="24625784">
      <w:pPr>
        <w:tabs>
          <w:tab w:val="left" w:pos="1183"/>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（3）与本合同终止、解除或变更事宜有关的通知；</w:t>
      </w:r>
    </w:p>
    <w:p w14:paraId="11FB5C8F">
      <w:pPr>
        <w:tabs>
          <w:tab w:val="left" w:pos="1183"/>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（4）与本合同延续/续展有关的通知；</w:t>
      </w:r>
    </w:p>
    <w:p w14:paraId="2DCD880F">
      <w:pPr>
        <w:tabs>
          <w:tab w:val="left" w:pos="1541"/>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w:t>
      </w:r>
    </w:p>
    <w:p w14:paraId="41B45F15">
      <w:pPr>
        <w:numPr>
          <w:ilvl w:val="2"/>
          <w:numId w:val="0"/>
        </w:numPr>
        <w:tabs>
          <w:tab w:val="left" w:pos="1362"/>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14.8.2本合同约定的各种通知方式的送达标准如下：</w:t>
      </w:r>
    </w:p>
    <w:p w14:paraId="01734535">
      <w:pPr>
        <w:tabs>
          <w:tab w:val="left" w:pos="1189"/>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（1）如采用书面信函形式，应当使用挂号信或者具有良好信誉的特快专递送达，接受方签收挂号信或特快专递的时间（以邮局或快递公司系统记录为准）为通知送达时间；</w:t>
      </w:r>
    </w:p>
    <w:p w14:paraId="6C07DF6F">
      <w:pPr>
        <w:tabs>
          <w:tab w:val="left" w:pos="1183"/>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（2）如采用传真方式，传真到达接受方指定传真系统的时间为通知送达时间；</w:t>
      </w:r>
    </w:p>
    <w:p w14:paraId="29634E2B">
      <w:pPr>
        <w:tabs>
          <w:tab w:val="left" w:pos="1189"/>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（3）如采用电子邮件方式，电子邮件到达接受方指定电子邮箱的时间为通知送达时间。</w:t>
      </w:r>
    </w:p>
    <w:p w14:paraId="72D54D16">
      <w:pPr>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如果因接受方原因（包括但不限于接受方拒收书面信函、接受方传真机关闭或故障、接受方电子邮箱地址不存在或者电子邮箱已满或者设置拒收等）导致通知发送失败，视为通知已经送达（发送方侧载明的书面信函寄出时间或者传真发送时间或者电子邮件发送时间视为通知送达时间）。</w:t>
      </w:r>
    </w:p>
    <w:p w14:paraId="75C8E90A">
      <w:pPr>
        <w:numPr>
          <w:ilvl w:val="2"/>
          <w:numId w:val="0"/>
        </w:numPr>
        <w:tabs>
          <w:tab w:val="left" w:pos="1362"/>
          <w:tab w:val="left" w:pos="1661"/>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14.8.3本合同双方通知地址及方式如下：甲方：</w:t>
      </w:r>
      <w:r>
        <w:rPr>
          <w:rFonts w:hint="eastAsia" w:ascii="宋体" w:hAnsi="宋体" w:eastAsia="宋体" w:cs="宋体"/>
          <w:color w:val="FF0000"/>
          <w:sz w:val="24"/>
          <w:szCs w:val="24"/>
        </w:rPr>
        <w:t>[</w:t>
      </w:r>
      <w:r>
        <w:rPr>
          <w:rFonts w:hint="eastAsia" w:ascii="宋体" w:hAnsi="宋体" w:eastAsia="宋体" w:cs="宋体"/>
          <w:color w:val="FF0000"/>
          <w:sz w:val="24"/>
          <w:szCs w:val="24"/>
        </w:rPr>
        <w:tab/>
      </w:r>
      <w:r>
        <w:rPr>
          <w:rFonts w:hint="eastAsia" w:ascii="宋体" w:hAnsi="宋体" w:eastAsia="宋体" w:cs="宋体"/>
          <w:color w:val="FF0000"/>
          <w:sz w:val="24"/>
          <w:szCs w:val="24"/>
        </w:rPr>
        <w:t>]</w:t>
      </w:r>
    </w:p>
    <w:p w14:paraId="26B9A815">
      <w:pPr>
        <w:tabs>
          <w:tab w:val="left" w:pos="1661"/>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color w:val="FF0000"/>
          <w:sz w:val="24"/>
          <w:szCs w:val="24"/>
        </w:rPr>
        <w:t>[</w:t>
      </w:r>
      <w:r>
        <w:rPr>
          <w:rFonts w:hint="eastAsia" w:ascii="宋体" w:hAnsi="宋体" w:eastAsia="宋体" w:cs="宋体"/>
          <w:color w:val="FF0000"/>
          <w:sz w:val="24"/>
          <w:szCs w:val="24"/>
        </w:rPr>
        <w:tab/>
      </w:r>
      <w:r>
        <w:rPr>
          <w:rFonts w:hint="eastAsia" w:ascii="宋体" w:hAnsi="宋体" w:eastAsia="宋体" w:cs="宋体"/>
          <w:color w:val="FF0000"/>
          <w:sz w:val="24"/>
          <w:szCs w:val="24"/>
        </w:rPr>
        <w:t>]</w:t>
      </w:r>
    </w:p>
    <w:p w14:paraId="07160ACE">
      <w:pPr>
        <w:tabs>
          <w:tab w:val="left" w:pos="1901"/>
        </w:tabs>
        <w:wordWrap w:val="0"/>
        <w:spacing w:line="360" w:lineRule="auto"/>
        <w:ind w:firstLine="480" w:firstLineChars="200"/>
        <w:rPr>
          <w:rFonts w:hint="eastAsia" w:ascii="宋体" w:hAnsi="宋体" w:eastAsia="宋体" w:cs="宋体"/>
          <w:color w:val="FF0000"/>
          <w:sz w:val="24"/>
          <w:szCs w:val="24"/>
        </w:rPr>
      </w:pPr>
      <w:r>
        <w:rPr>
          <w:rFonts w:hint="eastAsia" w:ascii="宋体" w:hAnsi="宋体" w:eastAsia="宋体" w:cs="宋体"/>
          <w:sz w:val="24"/>
          <w:szCs w:val="24"/>
        </w:rPr>
        <w:t>联系人：</w:t>
      </w:r>
      <w:r>
        <w:rPr>
          <w:rFonts w:hint="eastAsia" w:ascii="宋体" w:hAnsi="宋体" w:eastAsia="宋体" w:cs="宋体"/>
          <w:color w:val="FF0000"/>
          <w:sz w:val="24"/>
          <w:szCs w:val="24"/>
        </w:rPr>
        <w:t>[</w:t>
      </w:r>
      <w:r>
        <w:rPr>
          <w:rFonts w:hint="eastAsia" w:ascii="宋体" w:hAnsi="宋体" w:eastAsia="宋体" w:cs="宋体"/>
          <w:color w:val="FF0000"/>
          <w:sz w:val="24"/>
          <w:szCs w:val="24"/>
        </w:rPr>
        <w:tab/>
      </w:r>
      <w:r>
        <w:rPr>
          <w:rFonts w:hint="eastAsia" w:ascii="宋体" w:hAnsi="宋体" w:eastAsia="宋体" w:cs="宋体"/>
          <w:color w:val="FF0000"/>
          <w:sz w:val="24"/>
          <w:szCs w:val="24"/>
        </w:rPr>
        <w:t>]</w:t>
      </w:r>
    </w:p>
    <w:p w14:paraId="0B8AE2A6">
      <w:pPr>
        <w:tabs>
          <w:tab w:val="left" w:pos="1661"/>
        </w:tabs>
        <w:wordWrap w:val="0"/>
        <w:spacing w:line="360" w:lineRule="auto"/>
        <w:ind w:firstLine="480" w:firstLineChars="200"/>
        <w:rPr>
          <w:rFonts w:hint="eastAsia" w:ascii="宋体" w:hAnsi="宋体" w:eastAsia="宋体" w:cs="宋体"/>
          <w:color w:val="FF0000"/>
          <w:sz w:val="24"/>
          <w:szCs w:val="24"/>
        </w:rPr>
      </w:pPr>
      <w:r>
        <w:rPr>
          <w:rFonts w:hint="eastAsia" w:ascii="宋体" w:hAnsi="宋体" w:eastAsia="宋体" w:cs="宋体"/>
          <w:sz w:val="24"/>
          <w:szCs w:val="24"/>
        </w:rPr>
        <w:t>电话：</w:t>
      </w:r>
      <w:r>
        <w:rPr>
          <w:rFonts w:hint="eastAsia" w:ascii="宋体" w:hAnsi="宋体" w:eastAsia="宋体" w:cs="宋体"/>
          <w:color w:val="FF0000"/>
          <w:sz w:val="24"/>
          <w:szCs w:val="24"/>
        </w:rPr>
        <w:t>[</w:t>
      </w:r>
      <w:r>
        <w:rPr>
          <w:rFonts w:hint="eastAsia" w:ascii="宋体" w:hAnsi="宋体" w:eastAsia="宋体" w:cs="宋体"/>
          <w:color w:val="FF0000"/>
          <w:sz w:val="24"/>
          <w:szCs w:val="24"/>
        </w:rPr>
        <w:tab/>
      </w:r>
      <w:r>
        <w:rPr>
          <w:rFonts w:hint="eastAsia" w:ascii="宋体" w:hAnsi="宋体" w:eastAsia="宋体" w:cs="宋体"/>
          <w:color w:val="FF0000"/>
          <w:sz w:val="24"/>
          <w:szCs w:val="24"/>
        </w:rPr>
        <w:t>]</w:t>
      </w:r>
    </w:p>
    <w:p w14:paraId="422E503F">
      <w:pPr>
        <w:tabs>
          <w:tab w:val="left" w:pos="1661"/>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邮编：</w:t>
      </w:r>
      <w:r>
        <w:rPr>
          <w:rFonts w:hint="eastAsia" w:ascii="宋体" w:hAnsi="宋体" w:eastAsia="宋体" w:cs="宋体"/>
          <w:color w:val="FF0000"/>
          <w:sz w:val="24"/>
          <w:szCs w:val="24"/>
        </w:rPr>
        <w:t>[</w:t>
      </w:r>
      <w:r>
        <w:rPr>
          <w:rFonts w:hint="eastAsia" w:ascii="宋体" w:hAnsi="宋体" w:eastAsia="宋体" w:cs="宋体"/>
          <w:color w:val="FF0000"/>
          <w:sz w:val="24"/>
          <w:szCs w:val="24"/>
        </w:rPr>
        <w:tab/>
      </w:r>
      <w:r>
        <w:rPr>
          <w:rFonts w:hint="eastAsia" w:ascii="宋体" w:hAnsi="宋体" w:eastAsia="宋体" w:cs="宋体"/>
          <w:color w:val="FF0000"/>
          <w:sz w:val="24"/>
          <w:szCs w:val="24"/>
        </w:rPr>
        <w:t>]</w:t>
      </w:r>
    </w:p>
    <w:p w14:paraId="10FEB46E">
      <w:pPr>
        <w:tabs>
          <w:tab w:val="left" w:pos="2141"/>
        </w:tabs>
        <w:wordWrap w:val="0"/>
        <w:spacing w:line="360" w:lineRule="auto"/>
        <w:ind w:firstLine="480" w:firstLineChars="200"/>
        <w:rPr>
          <w:rFonts w:hint="eastAsia" w:ascii="宋体" w:hAnsi="宋体" w:eastAsia="宋体" w:cs="宋体"/>
          <w:color w:val="FF0000"/>
          <w:sz w:val="24"/>
          <w:szCs w:val="24"/>
        </w:rPr>
      </w:pPr>
      <w:r>
        <w:rPr>
          <w:rFonts w:hint="eastAsia" w:ascii="宋体" w:hAnsi="宋体" w:eastAsia="宋体" w:cs="宋体"/>
          <w:sz w:val="24"/>
          <w:szCs w:val="24"/>
        </w:rPr>
        <w:t>电子邮箱：</w:t>
      </w:r>
      <w:r>
        <w:rPr>
          <w:rFonts w:hint="eastAsia" w:ascii="宋体" w:hAnsi="宋体" w:eastAsia="宋体" w:cs="宋体"/>
          <w:color w:val="FF0000"/>
          <w:sz w:val="24"/>
          <w:szCs w:val="24"/>
        </w:rPr>
        <w:t>[</w:t>
      </w:r>
      <w:r>
        <w:rPr>
          <w:rFonts w:hint="eastAsia" w:ascii="宋体" w:hAnsi="宋体" w:eastAsia="宋体" w:cs="宋体"/>
          <w:color w:val="FF0000"/>
          <w:sz w:val="24"/>
          <w:szCs w:val="24"/>
        </w:rPr>
        <w:tab/>
      </w:r>
      <w:r>
        <w:rPr>
          <w:rFonts w:hint="eastAsia" w:ascii="宋体" w:hAnsi="宋体" w:eastAsia="宋体" w:cs="宋体"/>
          <w:color w:val="FF0000"/>
          <w:sz w:val="24"/>
          <w:szCs w:val="24"/>
        </w:rPr>
        <w:t>]</w:t>
      </w:r>
    </w:p>
    <w:p w14:paraId="0F6BB5AD">
      <w:pPr>
        <w:tabs>
          <w:tab w:val="left" w:pos="1661"/>
          <w:tab w:val="left" w:pos="2621"/>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乙方：</w:t>
      </w:r>
    </w:p>
    <w:p w14:paraId="6303842E">
      <w:pPr>
        <w:tabs>
          <w:tab w:val="left" w:pos="1661"/>
          <w:tab w:val="left" w:pos="2621"/>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w:t>
      </w:r>
    </w:p>
    <w:p w14:paraId="7E6FB1A4">
      <w:pPr>
        <w:tabs>
          <w:tab w:val="left" w:pos="1901"/>
        </w:tabs>
        <w:wordWrap w:val="0"/>
        <w:spacing w:line="360" w:lineRule="auto"/>
        <w:ind w:firstLine="480" w:firstLineChars="200"/>
        <w:rPr>
          <w:rFonts w:hint="eastAsia" w:ascii="宋体" w:hAnsi="宋体" w:eastAsia="宋体" w:cs="宋体"/>
          <w:color w:val="FF0000"/>
          <w:sz w:val="24"/>
          <w:szCs w:val="24"/>
        </w:rPr>
      </w:pPr>
      <w:r>
        <w:rPr>
          <w:rFonts w:hint="eastAsia" w:ascii="宋体" w:hAnsi="宋体" w:eastAsia="宋体" w:cs="宋体"/>
          <w:sz w:val="24"/>
          <w:szCs w:val="24"/>
        </w:rPr>
        <w:t>联系人：</w:t>
      </w:r>
      <w:r>
        <w:rPr>
          <w:rFonts w:hint="eastAsia" w:ascii="宋体" w:hAnsi="宋体" w:eastAsia="宋体" w:cs="宋体"/>
          <w:color w:val="FF0000"/>
          <w:sz w:val="24"/>
          <w:szCs w:val="24"/>
        </w:rPr>
        <w:t>[</w:t>
      </w:r>
      <w:r>
        <w:rPr>
          <w:rFonts w:hint="eastAsia" w:ascii="宋体" w:hAnsi="宋体" w:eastAsia="宋体" w:cs="宋体"/>
          <w:color w:val="FF0000"/>
          <w:sz w:val="24"/>
          <w:szCs w:val="24"/>
        </w:rPr>
        <w:tab/>
      </w:r>
      <w:r>
        <w:rPr>
          <w:rFonts w:hint="eastAsia" w:ascii="宋体" w:hAnsi="宋体" w:eastAsia="宋体" w:cs="宋体"/>
          <w:color w:val="FF0000"/>
          <w:sz w:val="24"/>
          <w:szCs w:val="24"/>
        </w:rPr>
        <w:t>]</w:t>
      </w:r>
    </w:p>
    <w:p w14:paraId="59EF1BAD">
      <w:pPr>
        <w:tabs>
          <w:tab w:val="left" w:pos="1661"/>
        </w:tabs>
        <w:wordWrap w:val="0"/>
        <w:spacing w:line="360" w:lineRule="auto"/>
        <w:ind w:firstLine="480" w:firstLineChars="200"/>
        <w:rPr>
          <w:rFonts w:hint="eastAsia" w:ascii="宋体" w:hAnsi="宋体" w:eastAsia="宋体" w:cs="宋体"/>
          <w:color w:val="FF0000"/>
          <w:sz w:val="24"/>
          <w:szCs w:val="24"/>
        </w:rPr>
      </w:pPr>
      <w:r>
        <w:rPr>
          <w:rFonts w:hint="eastAsia" w:ascii="宋体" w:hAnsi="宋体" w:eastAsia="宋体" w:cs="宋体"/>
          <w:sz w:val="24"/>
          <w:szCs w:val="24"/>
        </w:rPr>
        <w:t>电话：</w:t>
      </w:r>
      <w:r>
        <w:rPr>
          <w:rFonts w:hint="eastAsia" w:ascii="宋体" w:hAnsi="宋体" w:eastAsia="宋体" w:cs="宋体"/>
          <w:color w:val="FF0000"/>
          <w:sz w:val="24"/>
          <w:szCs w:val="24"/>
        </w:rPr>
        <w:t>[</w:t>
      </w:r>
      <w:r>
        <w:rPr>
          <w:rFonts w:hint="eastAsia" w:ascii="宋体" w:hAnsi="宋体" w:eastAsia="宋体" w:cs="宋体"/>
          <w:color w:val="FF0000"/>
          <w:sz w:val="24"/>
          <w:szCs w:val="24"/>
        </w:rPr>
        <w:tab/>
      </w:r>
      <w:r>
        <w:rPr>
          <w:rFonts w:hint="eastAsia" w:ascii="宋体" w:hAnsi="宋体" w:eastAsia="宋体" w:cs="宋体"/>
          <w:color w:val="FF0000"/>
          <w:sz w:val="24"/>
          <w:szCs w:val="24"/>
        </w:rPr>
        <w:t>]</w:t>
      </w:r>
    </w:p>
    <w:p w14:paraId="212CD378">
      <w:pPr>
        <w:tabs>
          <w:tab w:val="left" w:pos="1661"/>
        </w:tabs>
        <w:wordWrap w:val="0"/>
        <w:spacing w:line="360" w:lineRule="auto"/>
        <w:ind w:firstLine="480" w:firstLineChars="200"/>
        <w:rPr>
          <w:rFonts w:hint="eastAsia" w:ascii="宋体" w:hAnsi="宋体" w:eastAsia="宋体" w:cs="宋体"/>
          <w:color w:val="FF0000"/>
          <w:sz w:val="24"/>
          <w:szCs w:val="24"/>
        </w:rPr>
      </w:pPr>
      <w:r>
        <w:rPr>
          <w:rFonts w:hint="eastAsia" w:ascii="宋体" w:hAnsi="宋体" w:eastAsia="宋体" w:cs="宋体"/>
          <w:sz w:val="24"/>
          <w:szCs w:val="24"/>
        </w:rPr>
        <w:t>邮编：</w:t>
      </w:r>
      <w:r>
        <w:rPr>
          <w:rFonts w:hint="eastAsia" w:ascii="宋体" w:hAnsi="宋体" w:eastAsia="宋体" w:cs="宋体"/>
          <w:color w:val="FF0000"/>
          <w:sz w:val="24"/>
          <w:szCs w:val="24"/>
        </w:rPr>
        <w:t>[</w:t>
      </w:r>
      <w:r>
        <w:rPr>
          <w:rFonts w:hint="eastAsia" w:ascii="宋体" w:hAnsi="宋体" w:eastAsia="宋体" w:cs="宋体"/>
          <w:color w:val="FF0000"/>
          <w:sz w:val="24"/>
          <w:szCs w:val="24"/>
        </w:rPr>
        <w:tab/>
      </w:r>
      <w:r>
        <w:rPr>
          <w:rFonts w:hint="eastAsia" w:ascii="宋体" w:hAnsi="宋体" w:eastAsia="宋体" w:cs="宋体"/>
          <w:color w:val="FF0000"/>
          <w:sz w:val="24"/>
          <w:szCs w:val="24"/>
        </w:rPr>
        <w:t>]</w:t>
      </w:r>
    </w:p>
    <w:p w14:paraId="23AEF847">
      <w:pPr>
        <w:tabs>
          <w:tab w:val="left" w:pos="2141"/>
        </w:tabs>
        <w:wordWrap w:val="0"/>
        <w:spacing w:line="360" w:lineRule="auto"/>
        <w:ind w:firstLine="480" w:firstLineChars="200"/>
        <w:rPr>
          <w:rFonts w:hint="eastAsia" w:ascii="宋体" w:hAnsi="宋体" w:eastAsia="宋体" w:cs="宋体"/>
          <w:color w:val="FF0000"/>
          <w:sz w:val="24"/>
          <w:szCs w:val="24"/>
        </w:rPr>
      </w:pPr>
      <w:r>
        <w:rPr>
          <w:rFonts w:hint="eastAsia" w:ascii="宋体" w:hAnsi="宋体" w:eastAsia="宋体" w:cs="宋体"/>
          <w:sz w:val="24"/>
          <w:szCs w:val="24"/>
        </w:rPr>
        <w:t>电子邮箱：</w:t>
      </w:r>
      <w:r>
        <w:rPr>
          <w:rFonts w:hint="eastAsia" w:ascii="宋体" w:hAnsi="宋体" w:eastAsia="宋体" w:cs="宋体"/>
          <w:color w:val="FF0000"/>
          <w:sz w:val="24"/>
          <w:szCs w:val="24"/>
        </w:rPr>
        <w:t>[</w:t>
      </w:r>
      <w:r>
        <w:rPr>
          <w:rFonts w:hint="eastAsia" w:ascii="宋体" w:hAnsi="宋体" w:eastAsia="宋体" w:cs="宋体"/>
          <w:color w:val="FF0000"/>
          <w:sz w:val="24"/>
          <w:szCs w:val="24"/>
        </w:rPr>
        <w:tab/>
      </w:r>
      <w:r>
        <w:rPr>
          <w:rFonts w:hint="eastAsia" w:ascii="宋体" w:hAnsi="宋体" w:eastAsia="宋体" w:cs="宋体"/>
          <w:color w:val="FF0000"/>
          <w:sz w:val="24"/>
          <w:szCs w:val="24"/>
        </w:rPr>
        <w:t>]</w:t>
      </w:r>
    </w:p>
    <w:p w14:paraId="481CAD7F">
      <w:pPr>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上述任何信息发生变更的，变更方应当及时以书面形式通知另一方，未及时通知并影响本合同履行或造成损失的，应当承担相应的责任。</w:t>
      </w:r>
    </w:p>
    <w:p w14:paraId="2776F9CE">
      <w:pPr>
        <w:numPr>
          <w:ilvl w:val="1"/>
          <w:numId w:val="0"/>
        </w:numPr>
        <w:tabs>
          <w:tab w:val="left" w:pos="1122"/>
        </w:tabs>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14.9双方同意，附件为本合同不可分割的部分。若附件与合同正文有任何冲突，以合同正文为准。</w:t>
      </w:r>
    </w:p>
    <w:p w14:paraId="5EEF2269">
      <w:pPr>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本合同附件为：</w:t>
      </w:r>
    </w:p>
    <w:p w14:paraId="06E77278">
      <w:pPr>
        <w:wordWrap w:val="0"/>
        <w:spacing w:line="360" w:lineRule="auto"/>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附件一：业务需求单</w:t>
      </w:r>
    </w:p>
    <w:p w14:paraId="4FDBD0A0">
      <w:pPr>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附件二：用户入网责任书</w:t>
      </w:r>
    </w:p>
    <w:p w14:paraId="2A707FB6">
      <w:pPr>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附件三：网络及信息安全承诺书</w:t>
      </w:r>
    </w:p>
    <w:p w14:paraId="729998E1">
      <w:pPr>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附件四：租用资源用途承诺书</w:t>
      </w:r>
    </w:p>
    <w:p w14:paraId="000C6CFC">
      <w:pPr>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w:t>
      </w:r>
    </w:p>
    <w:p w14:paraId="657BF9DD">
      <w:pPr>
        <w:wordWrap w:val="0"/>
        <w:spacing w:line="360" w:lineRule="auto"/>
        <w:ind w:firstLine="480" w:firstLineChars="200"/>
        <w:rPr>
          <w:rFonts w:hint="eastAsia" w:ascii="宋体" w:hAnsi="宋体" w:eastAsia="宋体" w:cs="宋体"/>
          <w:sz w:val="24"/>
          <w:szCs w:val="24"/>
        </w:rPr>
      </w:pPr>
    </w:p>
    <w:p w14:paraId="7451553F">
      <w:pPr>
        <w:wordWrap w:val="0"/>
        <w:spacing w:line="360" w:lineRule="auto"/>
        <w:ind w:firstLine="482" w:firstLineChars="200"/>
        <w:jc w:val="center"/>
        <w:outlineLvl w:val="1"/>
        <w:rPr>
          <w:rFonts w:hint="eastAsia" w:ascii="宋体" w:hAnsi="宋体" w:eastAsia="宋体" w:cs="宋体"/>
          <w:b/>
          <w:bCs/>
          <w:sz w:val="24"/>
          <w:szCs w:val="24"/>
        </w:rPr>
      </w:pPr>
      <w:r>
        <w:rPr>
          <w:rFonts w:hint="eastAsia" w:ascii="宋体" w:hAnsi="宋体" w:eastAsia="宋体" w:cs="宋体"/>
          <w:b/>
          <w:bCs/>
          <w:sz w:val="24"/>
          <w:szCs w:val="24"/>
        </w:rPr>
        <w:t>补充附页</w:t>
      </w:r>
    </w:p>
    <w:p w14:paraId="1BF511E0">
      <w:pPr>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经友好协商，对本合同条款补充、修改如下，本补充附页为合同正文的一部分，与合同正文冲突时，以本补充附页为准：</w:t>
      </w:r>
      <w:r>
        <w:rPr>
          <w:rFonts w:hint="eastAsia" w:ascii="宋体" w:hAnsi="宋体" w:eastAsia="宋体" w:cs="宋体"/>
          <w:color w:val="FF0000"/>
          <w:sz w:val="24"/>
          <w:szCs w:val="24"/>
        </w:rPr>
        <w:t>[无]</w:t>
      </w:r>
    </w:p>
    <w:p w14:paraId="2CAD1FAA">
      <w:pPr>
        <w:pStyle w:val="3"/>
        <w:wordWrap w:val="0"/>
        <w:adjustRightInd/>
        <w:spacing w:before="3" w:after="0" w:line="360" w:lineRule="auto"/>
        <w:ind w:left="0" w:leftChars="0" w:right="0" w:rightChars="0"/>
        <w:jc w:val="both"/>
        <w:textAlignment w:val="auto"/>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(签章页无正文)</w:t>
      </w:r>
    </w:p>
    <w:p w14:paraId="588DA17D">
      <w:pPr>
        <w:tabs>
          <w:tab w:val="left" w:pos="1181"/>
        </w:tabs>
        <w:wordWrap w:val="0"/>
        <w:spacing w:line="360" w:lineRule="auto"/>
        <w:ind w:left="101"/>
        <w:rPr>
          <w:rFonts w:hint="eastAsia" w:ascii="宋体" w:hAnsi="宋体" w:eastAsia="宋体" w:cs="宋体"/>
          <w:color w:val="FF0000"/>
          <w:sz w:val="24"/>
          <w:szCs w:val="24"/>
        </w:rPr>
      </w:pPr>
      <w:r>
        <w:rPr>
          <w:rFonts w:hint="eastAsia" w:ascii="宋体" w:hAnsi="宋体" w:eastAsia="宋体" w:cs="宋体"/>
          <w:sz w:val="24"/>
          <w:szCs w:val="24"/>
        </w:rPr>
        <w:t>甲方：</w:t>
      </w:r>
      <w:r>
        <w:rPr>
          <w:rFonts w:hint="eastAsia" w:ascii="宋体" w:hAnsi="宋体" w:eastAsia="宋体" w:cs="宋体"/>
          <w:color w:val="FF0000"/>
          <w:sz w:val="24"/>
          <w:szCs w:val="24"/>
        </w:rPr>
        <w:t>[</w:t>
      </w:r>
      <w:r>
        <w:rPr>
          <w:rFonts w:hint="eastAsia" w:ascii="宋体" w:hAnsi="宋体" w:eastAsia="宋体" w:cs="宋体"/>
          <w:color w:val="FF0000"/>
          <w:sz w:val="24"/>
          <w:szCs w:val="24"/>
        </w:rPr>
        <w:tab/>
      </w:r>
      <w:r>
        <w:rPr>
          <w:rFonts w:hint="eastAsia" w:ascii="宋体" w:hAnsi="宋体" w:eastAsia="宋体" w:cs="宋体"/>
          <w:color w:val="FF0000"/>
          <w:sz w:val="24"/>
          <w:szCs w:val="24"/>
        </w:rPr>
        <w:t>]</w:t>
      </w:r>
    </w:p>
    <w:p w14:paraId="18231FF6">
      <w:pPr>
        <w:wordWrap w:val="0"/>
        <w:spacing w:before="52" w:line="360" w:lineRule="auto"/>
        <w:ind w:left="101" w:right="6802"/>
        <w:rPr>
          <w:rFonts w:hint="eastAsia" w:ascii="宋体" w:hAnsi="宋体" w:eastAsia="宋体" w:cs="宋体"/>
          <w:sz w:val="24"/>
          <w:szCs w:val="24"/>
        </w:rPr>
      </w:pPr>
      <w:r>
        <w:rPr>
          <w:rFonts w:hint="eastAsia" w:ascii="宋体" w:hAnsi="宋体" w:eastAsia="宋体" w:cs="宋体"/>
          <w:sz w:val="24"/>
          <w:szCs w:val="24"/>
        </w:rPr>
        <w:t>法定代表人/负责人或授权代表：</w:t>
      </w:r>
    </w:p>
    <w:p w14:paraId="248C8C23">
      <w:pPr>
        <w:tabs>
          <w:tab w:val="left" w:pos="1661"/>
          <w:tab w:val="left" w:pos="2381"/>
        </w:tabs>
        <w:wordWrap w:val="0"/>
        <w:spacing w:line="360" w:lineRule="auto"/>
        <w:ind w:left="101"/>
        <w:rPr>
          <w:rFonts w:hint="eastAsia" w:ascii="宋体" w:hAnsi="宋体" w:eastAsia="宋体" w:cs="宋体"/>
          <w:sz w:val="24"/>
          <w:szCs w:val="24"/>
        </w:rPr>
      </w:pPr>
      <w:r>
        <w:rPr>
          <w:rFonts w:hint="eastAsia" w:ascii="宋体" w:hAnsi="宋体" w:eastAsia="宋体" w:cs="宋体"/>
          <w:sz w:val="24"/>
          <w:szCs w:val="24"/>
        </w:rPr>
        <w:t xml:space="preserve">签署日期：[  </w:t>
      </w:r>
      <w:r>
        <w:rPr>
          <w:rFonts w:hint="eastAsia" w:ascii="宋体" w:hAnsi="宋体" w:eastAsia="宋体" w:cs="宋体"/>
          <w:sz w:val="24"/>
          <w:szCs w:val="24"/>
        </w:rPr>
        <w:tab/>
      </w:r>
      <w:r>
        <w:rPr>
          <w:rFonts w:hint="eastAsia" w:ascii="宋体" w:hAnsi="宋体" w:eastAsia="宋体" w:cs="宋体"/>
          <w:sz w:val="24"/>
          <w:szCs w:val="24"/>
        </w:rPr>
        <w:t xml:space="preserve">]年[ </w:t>
      </w:r>
      <w:r>
        <w:rPr>
          <w:rFonts w:hint="eastAsia" w:ascii="宋体" w:hAnsi="宋体" w:eastAsia="宋体" w:cs="宋体"/>
          <w:sz w:val="24"/>
          <w:szCs w:val="24"/>
        </w:rPr>
        <w:tab/>
      </w:r>
      <w:r>
        <w:rPr>
          <w:rFonts w:hint="eastAsia" w:ascii="宋体" w:hAnsi="宋体" w:eastAsia="宋体" w:cs="宋体"/>
          <w:sz w:val="24"/>
          <w:szCs w:val="24"/>
        </w:rPr>
        <w:t xml:space="preserve"> ]月[</w:t>
      </w:r>
      <w:r>
        <w:rPr>
          <w:rFonts w:hint="eastAsia" w:ascii="宋体" w:hAnsi="宋体" w:eastAsia="宋体" w:cs="宋体"/>
          <w:sz w:val="24"/>
          <w:szCs w:val="24"/>
        </w:rPr>
        <w:tab/>
      </w:r>
      <w:r>
        <w:rPr>
          <w:rFonts w:hint="eastAsia" w:ascii="宋体" w:hAnsi="宋体" w:eastAsia="宋体" w:cs="宋体"/>
          <w:sz w:val="24"/>
          <w:szCs w:val="24"/>
        </w:rPr>
        <w:t xml:space="preserve">     ]日</w:t>
      </w:r>
    </w:p>
    <w:p w14:paraId="6181632B">
      <w:pPr>
        <w:wordWrap w:val="0"/>
        <w:spacing w:line="360" w:lineRule="auto"/>
        <w:rPr>
          <w:rFonts w:hint="eastAsia" w:ascii="宋体" w:hAnsi="宋体" w:eastAsia="宋体" w:cs="宋体"/>
          <w:sz w:val="24"/>
          <w:szCs w:val="24"/>
        </w:rPr>
      </w:pPr>
    </w:p>
    <w:p w14:paraId="7D8CC446">
      <w:pPr>
        <w:wordWrap w:val="0"/>
        <w:spacing w:line="360" w:lineRule="auto"/>
        <w:rPr>
          <w:rFonts w:hint="eastAsia" w:ascii="宋体" w:hAnsi="宋体" w:eastAsia="宋体" w:cs="宋体"/>
          <w:sz w:val="24"/>
          <w:szCs w:val="24"/>
        </w:rPr>
      </w:pPr>
    </w:p>
    <w:p w14:paraId="6E0495A5">
      <w:pPr>
        <w:wordWrap w:val="0"/>
        <w:spacing w:line="360" w:lineRule="auto"/>
        <w:rPr>
          <w:rFonts w:hint="eastAsia" w:ascii="宋体" w:hAnsi="宋体" w:eastAsia="宋体" w:cs="宋体"/>
          <w:sz w:val="24"/>
          <w:szCs w:val="24"/>
        </w:rPr>
      </w:pPr>
    </w:p>
    <w:p w14:paraId="28A7C176">
      <w:pPr>
        <w:wordWrap w:val="0"/>
        <w:spacing w:line="360" w:lineRule="auto"/>
        <w:rPr>
          <w:rFonts w:hint="eastAsia" w:ascii="宋体" w:hAnsi="宋体" w:eastAsia="宋体" w:cs="宋体"/>
          <w:sz w:val="24"/>
          <w:szCs w:val="24"/>
        </w:rPr>
      </w:pPr>
    </w:p>
    <w:p w14:paraId="6934B6CF">
      <w:pPr>
        <w:wordWrap w:val="0"/>
        <w:spacing w:line="360" w:lineRule="auto"/>
        <w:rPr>
          <w:rFonts w:hint="eastAsia" w:ascii="宋体" w:hAnsi="宋体" w:eastAsia="宋体" w:cs="宋体"/>
          <w:sz w:val="24"/>
          <w:szCs w:val="24"/>
        </w:rPr>
      </w:pPr>
    </w:p>
    <w:p w14:paraId="0711CAD0">
      <w:pPr>
        <w:wordWrap w:val="0"/>
        <w:spacing w:line="360" w:lineRule="auto"/>
        <w:rPr>
          <w:rFonts w:hint="eastAsia" w:ascii="宋体" w:hAnsi="宋体" w:eastAsia="宋体" w:cs="宋体"/>
          <w:sz w:val="24"/>
          <w:szCs w:val="24"/>
        </w:rPr>
      </w:pPr>
    </w:p>
    <w:p w14:paraId="1DD5914D">
      <w:pPr>
        <w:wordWrap w:val="0"/>
        <w:spacing w:before="2" w:line="360" w:lineRule="auto"/>
        <w:rPr>
          <w:rFonts w:hint="eastAsia" w:ascii="宋体" w:hAnsi="宋体" w:eastAsia="宋体" w:cs="宋体"/>
          <w:sz w:val="24"/>
          <w:szCs w:val="24"/>
        </w:rPr>
      </w:pPr>
      <w:r>
        <w:rPr>
          <w:rFonts w:hint="eastAsia" w:ascii="宋体" w:hAnsi="宋体" w:eastAsia="宋体" w:cs="宋体"/>
          <w:sz w:val="24"/>
          <w:szCs w:val="24"/>
        </w:rPr>
        <w:t>乙方：</w:t>
      </w:r>
    </w:p>
    <w:p w14:paraId="5092353A">
      <w:pPr>
        <w:tabs>
          <w:tab w:val="left" w:pos="2141"/>
        </w:tabs>
        <w:wordWrap w:val="0"/>
        <w:spacing w:before="195" w:line="360" w:lineRule="auto"/>
        <w:ind w:left="101" w:right="6202"/>
        <w:rPr>
          <w:rFonts w:hint="eastAsia" w:ascii="宋体" w:hAnsi="宋体" w:eastAsia="宋体" w:cs="宋体"/>
          <w:sz w:val="24"/>
          <w:szCs w:val="24"/>
        </w:rPr>
      </w:pPr>
      <w:r>
        <w:rPr>
          <w:rFonts w:hint="eastAsia" w:ascii="宋体" w:hAnsi="宋体" w:eastAsia="宋体" w:cs="宋体"/>
          <w:sz w:val="24"/>
          <w:szCs w:val="24"/>
        </w:rPr>
        <w:t>法定代表人/负责人</w:t>
      </w:r>
    </w:p>
    <w:p w14:paraId="6090E379">
      <w:pPr>
        <w:wordWrap w:val="0"/>
        <w:spacing w:line="360" w:lineRule="auto"/>
        <w:ind w:left="101"/>
        <w:rPr>
          <w:rFonts w:hint="eastAsia" w:ascii="宋体" w:hAnsi="宋体" w:eastAsia="宋体" w:cs="宋体"/>
          <w:sz w:val="24"/>
          <w:szCs w:val="24"/>
        </w:rPr>
      </w:pPr>
      <w:r>
        <w:rPr>
          <w:rFonts w:hint="eastAsia" w:ascii="宋体" w:hAnsi="宋体" w:eastAsia="宋体" w:cs="宋体"/>
          <w:sz w:val="24"/>
          <w:szCs w:val="24"/>
        </w:rPr>
        <w:t>或授权代表：</w:t>
      </w:r>
    </w:p>
    <w:p w14:paraId="479274C3">
      <w:pPr>
        <w:wordWrap w:val="0"/>
        <w:spacing w:before="3" w:line="360" w:lineRule="auto"/>
        <w:rPr>
          <w:rFonts w:hint="eastAsia" w:ascii="宋体" w:hAnsi="宋体" w:eastAsia="宋体" w:cs="宋体"/>
          <w:sz w:val="24"/>
          <w:szCs w:val="24"/>
        </w:rPr>
      </w:pPr>
    </w:p>
    <w:p w14:paraId="0649ED15">
      <w:pPr>
        <w:tabs>
          <w:tab w:val="left" w:pos="1661"/>
          <w:tab w:val="left" w:pos="2381"/>
          <w:tab w:val="left" w:pos="3101"/>
        </w:tabs>
        <w:wordWrap w:val="0"/>
        <w:spacing w:line="360" w:lineRule="auto"/>
        <w:ind w:left="101"/>
        <w:rPr>
          <w:rFonts w:hint="eastAsia" w:ascii="宋体" w:hAnsi="宋体" w:eastAsia="宋体" w:cs="宋体"/>
          <w:sz w:val="24"/>
          <w:szCs w:val="24"/>
        </w:rPr>
      </w:pPr>
      <w:r>
        <w:rPr>
          <w:rFonts w:hint="eastAsia" w:ascii="宋体" w:hAnsi="宋体" w:eastAsia="宋体" w:cs="宋体"/>
          <w:sz w:val="24"/>
          <w:szCs w:val="24"/>
        </w:rPr>
        <w:t xml:space="preserve">签署日期：[  </w:t>
      </w:r>
      <w:r>
        <w:rPr>
          <w:rFonts w:hint="eastAsia" w:ascii="宋体" w:hAnsi="宋体" w:eastAsia="宋体" w:cs="宋体"/>
          <w:sz w:val="24"/>
          <w:szCs w:val="24"/>
        </w:rPr>
        <w:tab/>
      </w:r>
      <w:r>
        <w:rPr>
          <w:rFonts w:hint="eastAsia" w:ascii="宋体" w:hAnsi="宋体" w:eastAsia="宋体" w:cs="宋体"/>
          <w:sz w:val="24"/>
          <w:szCs w:val="24"/>
        </w:rPr>
        <w:t xml:space="preserve">]年[  </w:t>
      </w:r>
      <w:r>
        <w:rPr>
          <w:rFonts w:hint="eastAsia" w:ascii="宋体" w:hAnsi="宋体" w:eastAsia="宋体" w:cs="宋体"/>
          <w:sz w:val="24"/>
          <w:szCs w:val="24"/>
        </w:rPr>
        <w:tab/>
      </w:r>
      <w:r>
        <w:rPr>
          <w:rFonts w:hint="eastAsia" w:ascii="宋体" w:hAnsi="宋体" w:eastAsia="宋体" w:cs="宋体"/>
          <w:sz w:val="24"/>
          <w:szCs w:val="24"/>
        </w:rPr>
        <w:t>]月[</w:t>
      </w:r>
      <w:r>
        <w:rPr>
          <w:rFonts w:hint="eastAsia" w:ascii="宋体" w:hAnsi="宋体" w:eastAsia="宋体" w:cs="宋体"/>
          <w:sz w:val="24"/>
          <w:szCs w:val="24"/>
        </w:rPr>
        <w:tab/>
      </w:r>
      <w:r>
        <w:rPr>
          <w:rFonts w:hint="eastAsia" w:ascii="宋体" w:hAnsi="宋体" w:eastAsia="宋体" w:cs="宋体"/>
          <w:sz w:val="24"/>
          <w:szCs w:val="24"/>
        </w:rPr>
        <w:t xml:space="preserve">   ]日</w:t>
      </w:r>
    </w:p>
    <w:p w14:paraId="7994E0AE">
      <w:pPr>
        <w:wordWrap w:val="0"/>
        <w:spacing w:line="360" w:lineRule="auto"/>
        <w:rPr>
          <w:rFonts w:hint="eastAsia" w:ascii="宋体" w:hAnsi="宋体" w:cs="宋体"/>
          <w:sz w:val="24"/>
          <w:szCs w:val="24"/>
        </w:rPr>
        <w:sectPr>
          <w:footerReference r:id="rId3" w:type="default"/>
          <w:pgSz w:w="11910" w:h="16840"/>
          <w:pgMar w:top="1380" w:right="1360" w:bottom="1200" w:left="1600" w:header="479" w:footer="1007" w:gutter="0"/>
          <w:cols w:space="720" w:num="1"/>
        </w:sectPr>
      </w:pPr>
    </w:p>
    <w:p w14:paraId="5DC5DFCA">
      <w:pPr>
        <w:wordWrap w:val="0"/>
        <w:jc w:val="left"/>
        <w:rPr>
          <w:rFonts w:hint="eastAsia" w:ascii="宋体" w:hAnsi="宋体" w:eastAsia="宋体" w:cs="宋体"/>
          <w:sz w:val="24"/>
          <w:szCs w:val="24"/>
        </w:rPr>
      </w:pPr>
      <w:r>
        <w:rPr>
          <w:rFonts w:hint="eastAsia" w:ascii="宋体" w:hAnsi="宋体" w:eastAsia="宋体" w:cs="宋体"/>
          <w:sz w:val="24"/>
          <w:szCs w:val="24"/>
        </w:rPr>
        <w:t>附件一</w:t>
      </w:r>
    </w:p>
    <w:p w14:paraId="489BBF1C">
      <w:pPr>
        <w:wordWrap w:val="0"/>
        <w:spacing w:before="4"/>
        <w:ind w:left="6497" w:right="6257"/>
        <w:outlineLvl w:val="1"/>
        <w:rPr>
          <w:rFonts w:hint="eastAsia" w:ascii="宋体" w:hAnsi="宋体" w:eastAsia="宋体" w:cs="宋体"/>
          <w:bCs/>
          <w:color w:val="000000"/>
          <w:sz w:val="24"/>
          <w:szCs w:val="24"/>
        </w:rPr>
      </w:pPr>
      <w:r>
        <w:rPr>
          <w:rFonts w:hint="eastAsia" w:ascii="宋体" w:hAnsi="宋体" w:eastAsia="宋体" w:cs="宋体"/>
          <w:b/>
          <w:color w:val="000000"/>
          <w:sz w:val="24"/>
          <w:szCs w:val="24"/>
        </w:rPr>
        <w:t>业务需求单</w:t>
      </w:r>
    </w:p>
    <w:p w14:paraId="3E3F533C">
      <w:pPr>
        <w:wordWrap w:val="0"/>
        <w:spacing w:before="6"/>
        <w:jc w:val="center"/>
        <w:rPr>
          <w:rFonts w:hint="eastAsia" w:ascii="宋体" w:hAnsi="宋体" w:eastAsia="宋体" w:cs="宋体"/>
          <w:color w:val="000000"/>
          <w:sz w:val="24"/>
          <w:szCs w:val="24"/>
        </w:rPr>
      </w:pPr>
    </w:p>
    <w:tbl>
      <w:tblPr>
        <w:tblStyle w:val="4"/>
        <w:tblW w:w="13927" w:type="dxa"/>
        <w:tblInd w:w="37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028"/>
        <w:gridCol w:w="850"/>
        <w:gridCol w:w="851"/>
        <w:gridCol w:w="1121"/>
        <w:gridCol w:w="2161"/>
        <w:gridCol w:w="1419"/>
        <w:gridCol w:w="2379"/>
        <w:gridCol w:w="1283"/>
        <w:gridCol w:w="2835"/>
      </w:tblGrid>
      <w:tr w14:paraId="74488D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9" w:hRule="atLeast"/>
        </w:trPr>
        <w:tc>
          <w:tcPr>
            <w:tcW w:w="1028" w:type="dxa"/>
            <w:vMerge w:val="restart"/>
            <w:tcBorders>
              <w:right w:val="single" w:color="000000" w:sz="4" w:space="0"/>
            </w:tcBorders>
            <w:noWrap w:val="0"/>
            <w:vAlign w:val="center"/>
          </w:tcPr>
          <w:p w14:paraId="6E4E947D">
            <w:pPr>
              <w:wordWrap w:val="0"/>
              <w:spacing w:line="281" w:lineRule="auto"/>
              <w:jc w:val="center"/>
              <w:rPr>
                <w:rFonts w:ascii="宋体" w:hAnsi="宋体" w:eastAsia="宋体" w:cs="宋体"/>
                <w:color w:val="000000"/>
                <w:sz w:val="24"/>
                <w:szCs w:val="24"/>
              </w:rPr>
            </w:pPr>
          </w:p>
          <w:p w14:paraId="0BEFE5B3">
            <w:pPr>
              <w:wordWrap w:val="0"/>
              <w:spacing w:line="281" w:lineRule="auto"/>
              <w:jc w:val="center"/>
              <w:rPr>
                <w:rFonts w:ascii="宋体" w:hAnsi="宋体" w:eastAsia="宋体" w:cs="宋体"/>
                <w:color w:val="000000"/>
                <w:sz w:val="24"/>
                <w:szCs w:val="24"/>
              </w:rPr>
            </w:pPr>
            <w:r>
              <w:rPr>
                <w:rFonts w:ascii="宋体" w:hAnsi="宋体" w:eastAsia="宋体" w:cs="宋体"/>
                <w:color w:val="000000"/>
                <w:sz w:val="24"/>
                <w:szCs w:val="24"/>
              </w:rPr>
              <w:t>互联网专线</w:t>
            </w:r>
          </w:p>
        </w:tc>
        <w:tc>
          <w:tcPr>
            <w:tcW w:w="850" w:type="dxa"/>
            <w:vMerge w:val="restart"/>
            <w:tcBorders>
              <w:left w:val="single" w:color="000000" w:sz="4" w:space="0"/>
              <w:right w:val="single" w:color="000000" w:sz="4" w:space="0"/>
            </w:tcBorders>
            <w:noWrap w:val="0"/>
            <w:vAlign w:val="center"/>
          </w:tcPr>
          <w:p w14:paraId="6E885CA8">
            <w:pPr>
              <w:wordWrap w:val="0"/>
              <w:spacing w:line="281" w:lineRule="auto"/>
              <w:jc w:val="center"/>
              <w:rPr>
                <w:rFonts w:ascii="宋体" w:hAnsi="宋体" w:eastAsia="宋体" w:cs="宋体"/>
                <w:color w:val="000000"/>
                <w:sz w:val="24"/>
                <w:szCs w:val="24"/>
              </w:rPr>
            </w:pPr>
          </w:p>
          <w:p w14:paraId="0DA3390E">
            <w:pPr>
              <w:wordWrap w:val="0"/>
              <w:spacing w:line="281" w:lineRule="auto"/>
              <w:jc w:val="center"/>
              <w:rPr>
                <w:rFonts w:ascii="宋体" w:hAnsi="宋体" w:eastAsia="宋体" w:cs="宋体"/>
                <w:color w:val="000000"/>
                <w:sz w:val="24"/>
                <w:szCs w:val="24"/>
              </w:rPr>
            </w:pPr>
            <w:r>
              <w:rPr>
                <w:rFonts w:ascii="宋体" w:hAnsi="宋体" w:eastAsia="宋体" w:cs="宋体"/>
                <w:color w:val="000000"/>
                <w:sz w:val="24"/>
                <w:szCs w:val="24"/>
              </w:rPr>
              <w:t>数量</w:t>
            </w:r>
          </w:p>
          <w:p w14:paraId="63EB1EA5">
            <w:pPr>
              <w:wordWrap w:val="0"/>
              <w:spacing w:line="281" w:lineRule="auto"/>
              <w:jc w:val="center"/>
              <w:rPr>
                <w:rFonts w:ascii="宋体" w:hAnsi="宋体" w:eastAsia="宋体" w:cs="宋体"/>
                <w:color w:val="000000"/>
                <w:sz w:val="24"/>
                <w:szCs w:val="24"/>
              </w:rPr>
            </w:pPr>
            <w:r>
              <w:rPr>
                <w:rFonts w:ascii="宋体" w:hAnsi="宋体" w:eastAsia="宋体" w:cs="宋体"/>
                <w:color w:val="000000"/>
                <w:sz w:val="24"/>
                <w:szCs w:val="24"/>
              </w:rPr>
              <w:t>（条）</w:t>
            </w:r>
          </w:p>
        </w:tc>
        <w:tc>
          <w:tcPr>
            <w:tcW w:w="851" w:type="dxa"/>
            <w:vMerge w:val="restart"/>
            <w:tcBorders>
              <w:left w:val="single" w:color="000000" w:sz="4" w:space="0"/>
              <w:right w:val="single" w:color="000000" w:sz="4" w:space="0"/>
            </w:tcBorders>
            <w:noWrap w:val="0"/>
            <w:vAlign w:val="center"/>
          </w:tcPr>
          <w:p w14:paraId="69D2CDEC">
            <w:pPr>
              <w:wordWrap w:val="0"/>
              <w:spacing w:line="281" w:lineRule="auto"/>
              <w:jc w:val="center"/>
              <w:rPr>
                <w:rFonts w:ascii="宋体" w:hAnsi="宋体" w:eastAsia="宋体" w:cs="宋体"/>
                <w:color w:val="000000"/>
                <w:sz w:val="24"/>
                <w:szCs w:val="24"/>
              </w:rPr>
            </w:pPr>
            <w:r>
              <w:rPr>
                <w:rFonts w:ascii="宋体" w:hAnsi="宋体" w:eastAsia="宋体" w:cs="宋体"/>
                <w:color w:val="000000"/>
                <w:sz w:val="24"/>
                <w:szCs w:val="24"/>
              </w:rPr>
              <w:t>速率</w:t>
            </w:r>
          </w:p>
          <w:p w14:paraId="67C03578">
            <w:pPr>
              <w:wordWrap w:val="0"/>
              <w:spacing w:line="281" w:lineRule="auto"/>
              <w:jc w:val="center"/>
              <w:rPr>
                <w:rFonts w:ascii="宋体" w:hAnsi="宋体" w:eastAsia="宋体" w:cs="宋体"/>
                <w:color w:val="000000"/>
                <w:sz w:val="24"/>
                <w:szCs w:val="24"/>
              </w:rPr>
            </w:pPr>
            <w:r>
              <w:rPr>
                <w:rFonts w:ascii="宋体" w:hAnsi="宋体" w:eastAsia="宋体" w:cs="宋体"/>
                <w:color w:val="000000"/>
                <w:sz w:val="24"/>
                <w:szCs w:val="24"/>
              </w:rPr>
              <w:t>(M/G)</w:t>
            </w:r>
          </w:p>
        </w:tc>
        <w:tc>
          <w:tcPr>
            <w:tcW w:w="1121" w:type="dxa"/>
            <w:vMerge w:val="restart"/>
            <w:tcBorders>
              <w:left w:val="single" w:color="000000" w:sz="4" w:space="0"/>
            </w:tcBorders>
            <w:noWrap w:val="0"/>
            <w:vAlign w:val="center"/>
          </w:tcPr>
          <w:p w14:paraId="4184DED9">
            <w:pPr>
              <w:wordWrap w:val="0"/>
              <w:spacing w:line="281" w:lineRule="auto"/>
              <w:jc w:val="center"/>
              <w:rPr>
                <w:rFonts w:ascii="宋体" w:hAnsi="宋体" w:eastAsia="宋体" w:cs="宋体"/>
                <w:color w:val="000000"/>
                <w:sz w:val="24"/>
                <w:szCs w:val="24"/>
              </w:rPr>
            </w:pPr>
            <w:r>
              <w:rPr>
                <w:rFonts w:ascii="宋体" w:hAnsi="宋体" w:eastAsia="宋体" w:cs="宋体"/>
                <w:color w:val="000000"/>
                <w:sz w:val="24"/>
                <w:szCs w:val="24"/>
              </w:rPr>
              <w:t>一次性调测费（元）</w:t>
            </w:r>
          </w:p>
        </w:tc>
        <w:tc>
          <w:tcPr>
            <w:tcW w:w="5959" w:type="dxa"/>
            <w:gridSpan w:val="3"/>
            <w:tcBorders>
              <w:bottom w:val="single" w:color="000000" w:sz="4" w:space="0"/>
            </w:tcBorders>
            <w:noWrap w:val="0"/>
            <w:vAlign w:val="center"/>
          </w:tcPr>
          <w:p w14:paraId="4C46A3D3">
            <w:pPr>
              <w:wordWrap w:val="0"/>
              <w:spacing w:line="281" w:lineRule="auto"/>
              <w:jc w:val="center"/>
              <w:rPr>
                <w:rFonts w:ascii="宋体" w:hAnsi="宋体" w:eastAsia="宋体" w:cs="宋体"/>
                <w:color w:val="000000"/>
                <w:sz w:val="24"/>
                <w:szCs w:val="24"/>
              </w:rPr>
            </w:pPr>
            <w:r>
              <w:rPr>
                <w:rFonts w:ascii="宋体" w:hAnsi="宋体" w:eastAsia="宋体" w:cs="宋体"/>
                <w:color w:val="000000"/>
                <w:sz w:val="24"/>
                <w:szCs w:val="24"/>
              </w:rPr>
              <w:t>互联网专线月使用费（含付费IP地址费用）</w:t>
            </w:r>
          </w:p>
        </w:tc>
        <w:tc>
          <w:tcPr>
            <w:tcW w:w="4118" w:type="dxa"/>
            <w:gridSpan w:val="2"/>
            <w:tcBorders>
              <w:bottom w:val="single" w:color="000000" w:sz="4" w:space="0"/>
            </w:tcBorders>
            <w:noWrap w:val="0"/>
            <w:vAlign w:val="center"/>
          </w:tcPr>
          <w:p w14:paraId="0D9185F6">
            <w:pPr>
              <w:wordWrap w:val="0"/>
              <w:spacing w:line="281" w:lineRule="auto"/>
              <w:jc w:val="center"/>
              <w:rPr>
                <w:rFonts w:ascii="宋体" w:hAnsi="宋体" w:eastAsia="宋体" w:cs="宋体"/>
                <w:color w:val="000000"/>
                <w:sz w:val="24"/>
                <w:szCs w:val="24"/>
              </w:rPr>
            </w:pPr>
            <w:r>
              <w:rPr>
                <w:rFonts w:ascii="宋体" w:hAnsi="宋体" w:eastAsia="宋体" w:cs="宋体"/>
                <w:color w:val="000000"/>
                <w:sz w:val="24"/>
                <w:szCs w:val="24"/>
              </w:rPr>
              <w:t>通达方向</w:t>
            </w:r>
          </w:p>
        </w:tc>
      </w:tr>
      <w:tr w14:paraId="43AF6C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4" w:hRule="atLeast"/>
        </w:trPr>
        <w:tc>
          <w:tcPr>
            <w:tcW w:w="1028" w:type="dxa"/>
            <w:vMerge w:val="continue"/>
            <w:tcBorders>
              <w:top w:val="nil"/>
              <w:right w:val="single" w:color="000000" w:sz="4" w:space="0"/>
            </w:tcBorders>
            <w:noWrap w:val="0"/>
            <w:vAlign w:val="center"/>
          </w:tcPr>
          <w:p w14:paraId="491D4DD7">
            <w:pPr>
              <w:wordWrap w:val="0"/>
              <w:spacing w:line="281" w:lineRule="auto"/>
              <w:jc w:val="center"/>
              <w:rPr>
                <w:rFonts w:ascii="宋体" w:hAnsi="宋体" w:eastAsia="宋体" w:cs="宋体"/>
                <w:color w:val="000000"/>
                <w:sz w:val="24"/>
                <w:szCs w:val="24"/>
              </w:rPr>
            </w:pPr>
          </w:p>
        </w:tc>
        <w:tc>
          <w:tcPr>
            <w:tcW w:w="850" w:type="dxa"/>
            <w:vMerge w:val="continue"/>
            <w:tcBorders>
              <w:top w:val="nil"/>
              <w:left w:val="single" w:color="000000" w:sz="4" w:space="0"/>
              <w:right w:val="single" w:color="000000" w:sz="4" w:space="0"/>
            </w:tcBorders>
            <w:noWrap w:val="0"/>
            <w:vAlign w:val="center"/>
          </w:tcPr>
          <w:p w14:paraId="3A3F5C18">
            <w:pPr>
              <w:wordWrap w:val="0"/>
              <w:spacing w:line="281" w:lineRule="auto"/>
              <w:jc w:val="center"/>
              <w:rPr>
                <w:rFonts w:ascii="宋体" w:hAnsi="宋体" w:eastAsia="宋体" w:cs="宋体"/>
                <w:color w:val="000000"/>
                <w:sz w:val="24"/>
                <w:szCs w:val="24"/>
              </w:rPr>
            </w:pPr>
          </w:p>
        </w:tc>
        <w:tc>
          <w:tcPr>
            <w:tcW w:w="851" w:type="dxa"/>
            <w:vMerge w:val="continue"/>
            <w:tcBorders>
              <w:top w:val="nil"/>
              <w:left w:val="single" w:color="000000" w:sz="4" w:space="0"/>
              <w:right w:val="single" w:color="000000" w:sz="4" w:space="0"/>
            </w:tcBorders>
            <w:noWrap w:val="0"/>
            <w:vAlign w:val="center"/>
          </w:tcPr>
          <w:p w14:paraId="58F9D6A9">
            <w:pPr>
              <w:wordWrap w:val="0"/>
              <w:spacing w:line="281" w:lineRule="auto"/>
              <w:jc w:val="center"/>
              <w:rPr>
                <w:rFonts w:ascii="宋体" w:hAnsi="宋体" w:eastAsia="宋体" w:cs="宋体"/>
                <w:color w:val="000000"/>
                <w:sz w:val="24"/>
                <w:szCs w:val="24"/>
              </w:rPr>
            </w:pPr>
          </w:p>
        </w:tc>
        <w:tc>
          <w:tcPr>
            <w:tcW w:w="1121" w:type="dxa"/>
            <w:vMerge w:val="continue"/>
            <w:tcBorders>
              <w:top w:val="nil"/>
              <w:left w:val="single" w:color="000000" w:sz="4" w:space="0"/>
            </w:tcBorders>
            <w:noWrap w:val="0"/>
            <w:vAlign w:val="center"/>
          </w:tcPr>
          <w:p w14:paraId="2B04D5C6">
            <w:pPr>
              <w:wordWrap w:val="0"/>
              <w:spacing w:line="281" w:lineRule="auto"/>
              <w:jc w:val="center"/>
              <w:rPr>
                <w:rFonts w:ascii="宋体" w:hAnsi="宋体" w:eastAsia="宋体" w:cs="宋体"/>
                <w:color w:val="000000"/>
                <w:sz w:val="24"/>
                <w:szCs w:val="24"/>
              </w:rPr>
            </w:pPr>
          </w:p>
        </w:tc>
        <w:tc>
          <w:tcPr>
            <w:tcW w:w="2161" w:type="dxa"/>
            <w:tcBorders>
              <w:top w:val="single" w:color="000000" w:sz="4" w:space="0"/>
              <w:right w:val="single" w:color="000000" w:sz="4" w:space="0"/>
            </w:tcBorders>
            <w:noWrap w:val="0"/>
            <w:vAlign w:val="center"/>
          </w:tcPr>
          <w:p w14:paraId="541B32AC">
            <w:pPr>
              <w:wordWrap w:val="0"/>
              <w:spacing w:line="281" w:lineRule="auto"/>
              <w:jc w:val="center"/>
              <w:rPr>
                <w:rFonts w:ascii="宋体" w:hAnsi="宋体" w:eastAsia="宋体" w:cs="宋体"/>
                <w:color w:val="000000"/>
                <w:sz w:val="24"/>
                <w:szCs w:val="24"/>
              </w:rPr>
            </w:pPr>
            <w:r>
              <w:rPr>
                <w:rFonts w:ascii="宋体" w:hAnsi="宋体" w:eastAsia="宋体" w:cs="宋体"/>
                <w:color w:val="000000"/>
                <w:sz w:val="24"/>
                <w:szCs w:val="24"/>
              </w:rPr>
              <w:t>标准资费（元）/条</w:t>
            </w:r>
          </w:p>
        </w:tc>
        <w:tc>
          <w:tcPr>
            <w:tcW w:w="1419" w:type="dxa"/>
            <w:tcBorders>
              <w:top w:val="single" w:color="000000" w:sz="4" w:space="0"/>
              <w:left w:val="single" w:color="000000" w:sz="4" w:space="0"/>
              <w:right w:val="single" w:color="000000" w:sz="4" w:space="0"/>
            </w:tcBorders>
            <w:noWrap w:val="0"/>
            <w:vAlign w:val="center"/>
          </w:tcPr>
          <w:p w14:paraId="46B73234">
            <w:pPr>
              <w:wordWrap w:val="0"/>
              <w:spacing w:line="281" w:lineRule="auto"/>
              <w:jc w:val="center"/>
              <w:rPr>
                <w:rFonts w:ascii="宋体" w:hAnsi="宋体" w:eastAsia="宋体" w:cs="宋体"/>
                <w:color w:val="000000"/>
                <w:sz w:val="24"/>
                <w:szCs w:val="24"/>
              </w:rPr>
            </w:pPr>
            <w:r>
              <w:rPr>
                <w:rFonts w:ascii="宋体" w:hAnsi="宋体" w:eastAsia="宋体" w:cs="宋体"/>
                <w:color w:val="000000"/>
                <w:sz w:val="24"/>
                <w:szCs w:val="24"/>
              </w:rPr>
              <w:t>优惠价格</w:t>
            </w:r>
          </w:p>
        </w:tc>
        <w:tc>
          <w:tcPr>
            <w:tcW w:w="2379" w:type="dxa"/>
            <w:tcBorders>
              <w:top w:val="single" w:color="000000" w:sz="4" w:space="0"/>
              <w:left w:val="single" w:color="000000" w:sz="4" w:space="0"/>
            </w:tcBorders>
            <w:noWrap w:val="0"/>
            <w:vAlign w:val="center"/>
          </w:tcPr>
          <w:p w14:paraId="5383484F">
            <w:pPr>
              <w:wordWrap w:val="0"/>
              <w:spacing w:line="281" w:lineRule="auto"/>
              <w:jc w:val="center"/>
              <w:rPr>
                <w:rFonts w:ascii="宋体" w:hAnsi="宋体" w:eastAsia="宋体" w:cs="宋体"/>
                <w:color w:val="000000"/>
                <w:sz w:val="24"/>
                <w:szCs w:val="24"/>
              </w:rPr>
            </w:pPr>
            <w:r>
              <w:rPr>
                <w:rFonts w:ascii="宋体" w:hAnsi="宋体" w:eastAsia="宋体" w:cs="宋体"/>
                <w:color w:val="000000"/>
                <w:sz w:val="24"/>
                <w:szCs w:val="24"/>
              </w:rPr>
              <w:t>实际价格（元）</w:t>
            </w:r>
          </w:p>
        </w:tc>
        <w:tc>
          <w:tcPr>
            <w:tcW w:w="1283" w:type="dxa"/>
            <w:tcBorders>
              <w:top w:val="single" w:color="000000" w:sz="4" w:space="0"/>
              <w:right w:val="single" w:color="000000" w:sz="4" w:space="0"/>
            </w:tcBorders>
            <w:noWrap w:val="0"/>
            <w:vAlign w:val="center"/>
          </w:tcPr>
          <w:p w14:paraId="42E7325F">
            <w:pPr>
              <w:wordWrap w:val="0"/>
              <w:spacing w:line="281" w:lineRule="auto"/>
              <w:jc w:val="center"/>
              <w:rPr>
                <w:rFonts w:ascii="宋体" w:hAnsi="宋体" w:eastAsia="宋体" w:cs="宋体"/>
                <w:color w:val="000000"/>
                <w:sz w:val="24"/>
                <w:szCs w:val="24"/>
              </w:rPr>
            </w:pPr>
            <w:r>
              <w:rPr>
                <w:rFonts w:ascii="宋体" w:hAnsi="宋体" w:eastAsia="宋体" w:cs="宋体"/>
                <w:color w:val="000000"/>
                <w:sz w:val="24"/>
                <w:szCs w:val="24"/>
              </w:rPr>
              <w:t>省份</w:t>
            </w:r>
          </w:p>
        </w:tc>
        <w:tc>
          <w:tcPr>
            <w:tcW w:w="2835" w:type="dxa"/>
            <w:tcBorders>
              <w:top w:val="single" w:color="000000" w:sz="4" w:space="0"/>
              <w:left w:val="single" w:color="000000" w:sz="4" w:space="0"/>
            </w:tcBorders>
            <w:noWrap w:val="0"/>
            <w:vAlign w:val="center"/>
          </w:tcPr>
          <w:p w14:paraId="3C305F74">
            <w:pPr>
              <w:wordWrap w:val="0"/>
              <w:spacing w:line="281" w:lineRule="auto"/>
              <w:jc w:val="center"/>
              <w:rPr>
                <w:rFonts w:ascii="宋体" w:hAnsi="宋体" w:eastAsia="宋体" w:cs="宋体"/>
                <w:color w:val="000000"/>
                <w:sz w:val="24"/>
                <w:szCs w:val="24"/>
              </w:rPr>
            </w:pPr>
            <w:r>
              <w:rPr>
                <w:rFonts w:ascii="宋体" w:hAnsi="宋体" w:eastAsia="宋体" w:cs="宋体"/>
                <w:color w:val="000000"/>
                <w:sz w:val="24"/>
                <w:szCs w:val="24"/>
              </w:rPr>
              <w:t>地市</w:t>
            </w:r>
          </w:p>
        </w:tc>
      </w:tr>
      <w:tr w14:paraId="2D5CB4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36" w:hRule="atLeast"/>
        </w:trPr>
        <w:tc>
          <w:tcPr>
            <w:tcW w:w="1028" w:type="dxa"/>
            <w:tcBorders>
              <w:left w:val="single" w:color="000000" w:sz="4" w:space="0"/>
              <w:bottom w:val="single" w:color="000000" w:sz="4" w:space="0"/>
              <w:right w:val="single" w:color="000000" w:sz="4" w:space="0"/>
            </w:tcBorders>
            <w:noWrap w:val="0"/>
            <w:vAlign w:val="center"/>
          </w:tcPr>
          <w:p w14:paraId="45CCF8D1">
            <w:pPr>
              <w:wordWrap w:val="0"/>
              <w:spacing w:line="281" w:lineRule="auto"/>
              <w:jc w:val="center"/>
              <w:rPr>
                <w:rFonts w:ascii="宋体" w:hAnsi="宋体" w:eastAsia="宋体" w:cs="宋体"/>
                <w:color w:val="FF0000"/>
                <w:sz w:val="24"/>
                <w:szCs w:val="24"/>
              </w:rPr>
            </w:pPr>
            <w:r>
              <w:rPr>
                <w:rFonts w:ascii="宋体" w:hAnsi="宋体" w:eastAsia="宋体" w:cs="宋体"/>
                <w:color w:val="FF0000"/>
                <w:sz w:val="24"/>
                <w:szCs w:val="24"/>
              </w:rPr>
              <w:t>例：</w:t>
            </w:r>
            <w:r>
              <w:rPr>
                <w:rFonts w:ascii="宋体" w:hAnsi="宋体" w:eastAsia="宋体" w:cs="宋体"/>
                <w:color w:val="000000"/>
                <w:sz w:val="24"/>
                <w:szCs w:val="24"/>
              </w:rPr>
              <w:t>互联网专线</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03BE9352">
            <w:pPr>
              <w:wordWrap w:val="0"/>
              <w:spacing w:line="281" w:lineRule="auto"/>
              <w:jc w:val="center"/>
              <w:rPr>
                <w:rFonts w:ascii="宋体" w:hAnsi="宋体" w:eastAsia="宋体" w:cs="宋体"/>
                <w:color w:val="FF0000"/>
                <w:sz w:val="24"/>
                <w:szCs w:val="24"/>
              </w:rPr>
            </w:pPr>
            <w:r>
              <w:rPr>
                <w:rFonts w:ascii="宋体" w:hAnsi="宋体" w:eastAsia="宋体" w:cs="宋体"/>
                <w:color w:val="FF0000"/>
                <w:sz w:val="24"/>
                <w:szCs w:val="24"/>
              </w:rPr>
              <w:t>1</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7C92CB31">
            <w:pPr>
              <w:wordWrap w:val="0"/>
              <w:spacing w:line="281" w:lineRule="auto"/>
              <w:jc w:val="center"/>
              <w:rPr>
                <w:rFonts w:ascii="宋体" w:hAnsi="宋体" w:eastAsia="宋体" w:cs="宋体"/>
                <w:color w:val="FF0000"/>
                <w:sz w:val="24"/>
                <w:szCs w:val="24"/>
              </w:rPr>
            </w:pPr>
            <w:r>
              <w:rPr>
                <w:rFonts w:ascii="宋体" w:hAnsi="宋体" w:eastAsia="宋体" w:cs="宋体"/>
                <w:color w:val="FF0000"/>
                <w:sz w:val="24"/>
                <w:szCs w:val="24"/>
              </w:rPr>
              <w:t>50M</w:t>
            </w:r>
          </w:p>
        </w:tc>
        <w:tc>
          <w:tcPr>
            <w:tcW w:w="1121" w:type="dxa"/>
            <w:tcBorders>
              <w:top w:val="single" w:color="000000" w:sz="4" w:space="0"/>
              <w:left w:val="single" w:color="000000" w:sz="4" w:space="0"/>
              <w:bottom w:val="single" w:color="000000" w:sz="4" w:space="0"/>
              <w:right w:val="single" w:color="000000" w:sz="4" w:space="0"/>
            </w:tcBorders>
            <w:noWrap w:val="0"/>
            <w:vAlign w:val="center"/>
          </w:tcPr>
          <w:p w14:paraId="1D0F8438">
            <w:pPr>
              <w:wordWrap w:val="0"/>
              <w:spacing w:line="281" w:lineRule="auto"/>
              <w:jc w:val="center"/>
              <w:rPr>
                <w:rFonts w:ascii="宋体" w:hAnsi="宋体" w:eastAsia="宋体" w:cs="宋体"/>
                <w:color w:val="FF0000"/>
                <w:sz w:val="24"/>
                <w:szCs w:val="24"/>
              </w:rPr>
            </w:pPr>
            <w:r>
              <w:rPr>
                <w:rFonts w:ascii="宋体" w:hAnsi="宋体" w:eastAsia="宋体" w:cs="宋体"/>
                <w:color w:val="FF0000"/>
                <w:sz w:val="24"/>
                <w:szCs w:val="24"/>
              </w:rPr>
              <w:t>0</w:t>
            </w:r>
          </w:p>
        </w:tc>
        <w:tc>
          <w:tcPr>
            <w:tcW w:w="2161" w:type="dxa"/>
            <w:tcBorders>
              <w:top w:val="single" w:color="000000" w:sz="4" w:space="0"/>
              <w:left w:val="single" w:color="000000" w:sz="4" w:space="0"/>
              <w:bottom w:val="single" w:color="000000" w:sz="4" w:space="0"/>
              <w:right w:val="single" w:color="000000" w:sz="4" w:space="0"/>
            </w:tcBorders>
            <w:noWrap w:val="0"/>
            <w:vAlign w:val="center"/>
          </w:tcPr>
          <w:p w14:paraId="0490BDC5">
            <w:pPr>
              <w:wordWrap w:val="0"/>
              <w:spacing w:line="281" w:lineRule="auto"/>
              <w:jc w:val="center"/>
              <w:rPr>
                <w:rFonts w:ascii="宋体" w:hAnsi="宋体" w:eastAsia="宋体" w:cs="宋体"/>
                <w:color w:val="FF0000"/>
                <w:sz w:val="24"/>
                <w:szCs w:val="24"/>
              </w:rPr>
            </w:pPr>
            <w:r>
              <w:rPr>
                <w:rFonts w:ascii="宋体" w:hAnsi="宋体" w:eastAsia="宋体" w:cs="宋体"/>
                <w:color w:val="FF0000"/>
                <w:sz w:val="24"/>
                <w:szCs w:val="24"/>
              </w:rPr>
              <w:t>8790</w:t>
            </w:r>
          </w:p>
        </w:tc>
        <w:tc>
          <w:tcPr>
            <w:tcW w:w="1419" w:type="dxa"/>
            <w:tcBorders>
              <w:left w:val="single" w:color="000000" w:sz="4" w:space="0"/>
              <w:bottom w:val="single" w:color="000000" w:sz="4" w:space="0"/>
              <w:right w:val="single" w:color="000000" w:sz="4" w:space="0"/>
            </w:tcBorders>
            <w:noWrap w:val="0"/>
            <w:vAlign w:val="center"/>
          </w:tcPr>
          <w:p w14:paraId="4D9E8E4B">
            <w:pPr>
              <w:wordWrap w:val="0"/>
              <w:spacing w:line="281" w:lineRule="auto"/>
              <w:jc w:val="center"/>
              <w:rPr>
                <w:rFonts w:ascii="宋体" w:hAnsi="宋体" w:eastAsia="宋体" w:cs="宋体"/>
                <w:color w:val="FF0000"/>
                <w:sz w:val="24"/>
                <w:szCs w:val="24"/>
              </w:rPr>
            </w:pPr>
            <w:r>
              <w:rPr>
                <w:rFonts w:ascii="宋体" w:hAnsi="宋体" w:eastAsia="宋体" w:cs="宋体"/>
                <w:color w:val="FF0000"/>
                <w:sz w:val="24"/>
                <w:szCs w:val="24"/>
              </w:rPr>
              <w:t>5790</w:t>
            </w:r>
          </w:p>
        </w:tc>
        <w:tc>
          <w:tcPr>
            <w:tcW w:w="2379" w:type="dxa"/>
            <w:tcBorders>
              <w:left w:val="single" w:color="000000" w:sz="4" w:space="0"/>
              <w:bottom w:val="single" w:color="000000" w:sz="4" w:space="0"/>
              <w:right w:val="single" w:color="000000" w:sz="4" w:space="0"/>
            </w:tcBorders>
            <w:noWrap w:val="0"/>
            <w:vAlign w:val="center"/>
          </w:tcPr>
          <w:p w14:paraId="085B1CB6">
            <w:pPr>
              <w:wordWrap w:val="0"/>
              <w:spacing w:line="281" w:lineRule="auto"/>
              <w:jc w:val="center"/>
              <w:rPr>
                <w:rFonts w:ascii="宋体" w:hAnsi="宋体" w:eastAsia="宋体" w:cs="宋体"/>
                <w:color w:val="FF0000"/>
                <w:sz w:val="24"/>
                <w:szCs w:val="24"/>
              </w:rPr>
            </w:pPr>
            <w:r>
              <w:rPr>
                <w:rFonts w:ascii="宋体" w:hAnsi="宋体" w:eastAsia="宋体" w:cs="宋体"/>
                <w:color w:val="FF0000"/>
                <w:sz w:val="24"/>
                <w:szCs w:val="24"/>
              </w:rPr>
              <w:t>3000</w:t>
            </w:r>
          </w:p>
        </w:tc>
        <w:tc>
          <w:tcPr>
            <w:tcW w:w="1283" w:type="dxa"/>
            <w:tcBorders>
              <w:left w:val="single" w:color="000000" w:sz="4" w:space="0"/>
              <w:bottom w:val="single" w:color="000000" w:sz="4" w:space="0"/>
              <w:right w:val="single" w:color="000000" w:sz="4" w:space="0"/>
            </w:tcBorders>
            <w:noWrap w:val="0"/>
            <w:vAlign w:val="center"/>
          </w:tcPr>
          <w:p w14:paraId="364F0D61">
            <w:pPr>
              <w:wordWrap w:val="0"/>
              <w:spacing w:line="281" w:lineRule="auto"/>
              <w:jc w:val="center"/>
              <w:rPr>
                <w:rFonts w:ascii="宋体" w:hAnsi="宋体" w:eastAsia="宋体" w:cs="宋体"/>
                <w:color w:val="FF0000"/>
                <w:sz w:val="24"/>
                <w:szCs w:val="24"/>
              </w:rPr>
            </w:pPr>
            <w:r>
              <w:rPr>
                <w:rFonts w:ascii="宋体" w:hAnsi="宋体" w:eastAsia="宋体" w:cs="宋体"/>
                <w:color w:val="FF0000"/>
                <w:sz w:val="24"/>
                <w:szCs w:val="24"/>
              </w:rPr>
              <w:t>陕西</w:t>
            </w:r>
          </w:p>
        </w:tc>
        <w:tc>
          <w:tcPr>
            <w:tcW w:w="2835" w:type="dxa"/>
            <w:tcBorders>
              <w:left w:val="single" w:color="000000" w:sz="4" w:space="0"/>
              <w:bottom w:val="single" w:color="000000" w:sz="4" w:space="0"/>
              <w:right w:val="single" w:color="000000" w:sz="4" w:space="0"/>
            </w:tcBorders>
            <w:noWrap w:val="0"/>
            <w:vAlign w:val="center"/>
          </w:tcPr>
          <w:p w14:paraId="5CDD62DB">
            <w:pPr>
              <w:wordWrap w:val="0"/>
              <w:spacing w:line="281" w:lineRule="auto"/>
              <w:jc w:val="center"/>
              <w:rPr>
                <w:rFonts w:ascii="宋体" w:hAnsi="宋体" w:eastAsia="宋体" w:cs="宋体"/>
                <w:color w:val="FF0000"/>
                <w:sz w:val="24"/>
                <w:szCs w:val="24"/>
              </w:rPr>
            </w:pPr>
            <w:r>
              <w:rPr>
                <w:rFonts w:ascii="宋体" w:hAnsi="宋体" w:eastAsia="宋体" w:cs="宋体"/>
                <w:color w:val="FF0000"/>
                <w:sz w:val="24"/>
                <w:szCs w:val="24"/>
              </w:rPr>
              <w:t>西安</w:t>
            </w:r>
          </w:p>
        </w:tc>
      </w:tr>
      <w:tr w14:paraId="2B9529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34" w:hRule="atLeast"/>
        </w:trPr>
        <w:tc>
          <w:tcPr>
            <w:tcW w:w="1028" w:type="dxa"/>
            <w:tcBorders>
              <w:top w:val="single" w:color="000000" w:sz="4" w:space="0"/>
              <w:left w:val="single" w:color="000000" w:sz="4" w:space="0"/>
              <w:bottom w:val="single" w:color="000000" w:sz="4" w:space="0"/>
              <w:right w:val="single" w:color="000000" w:sz="4" w:space="0"/>
            </w:tcBorders>
            <w:noWrap w:val="0"/>
            <w:vAlign w:val="center"/>
          </w:tcPr>
          <w:p w14:paraId="43E90AF4">
            <w:pPr>
              <w:tabs>
                <w:tab w:val="left" w:pos="1661"/>
              </w:tabs>
              <w:wordWrap w:val="0"/>
              <w:spacing w:line="281" w:lineRule="auto"/>
              <w:jc w:val="center"/>
              <w:rPr>
                <w:rFonts w:ascii="宋体" w:hAnsi="宋体" w:eastAsia="宋体" w:cs="宋体"/>
                <w:color w:val="FF0000"/>
                <w:sz w:val="24"/>
                <w:szCs w:val="24"/>
              </w:rPr>
            </w:pPr>
            <w:r>
              <w:rPr>
                <w:rFonts w:ascii="宋体" w:hAnsi="宋体" w:eastAsia="宋体" w:cs="宋体"/>
                <w:color w:val="FF0000"/>
                <w:sz w:val="24"/>
                <w:szCs w:val="24"/>
              </w:rPr>
              <w:t>[   ]</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3BAFA605">
            <w:pPr>
              <w:wordWrap w:val="0"/>
              <w:spacing w:line="281" w:lineRule="auto"/>
              <w:jc w:val="center"/>
              <w:rPr>
                <w:rFonts w:ascii="宋体" w:hAnsi="宋体" w:eastAsia="宋体" w:cs="宋体"/>
                <w:color w:val="000000"/>
                <w:sz w:val="24"/>
                <w:szCs w:val="24"/>
              </w:rPr>
            </w:pPr>
            <w:r>
              <w:rPr>
                <w:rFonts w:ascii="宋体" w:hAnsi="宋体" w:eastAsia="宋体" w:cs="宋体"/>
                <w:color w:val="FF0000"/>
                <w:sz w:val="24"/>
                <w:szCs w:val="24"/>
              </w:rPr>
              <w:t>[   ]</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2581CFE0">
            <w:pPr>
              <w:wordWrap w:val="0"/>
              <w:spacing w:line="281" w:lineRule="auto"/>
              <w:jc w:val="center"/>
              <w:rPr>
                <w:rFonts w:ascii="宋体" w:hAnsi="宋体" w:eastAsia="宋体" w:cs="宋体"/>
                <w:color w:val="000000"/>
                <w:sz w:val="24"/>
                <w:szCs w:val="24"/>
              </w:rPr>
            </w:pPr>
            <w:r>
              <w:rPr>
                <w:rFonts w:ascii="宋体" w:hAnsi="宋体" w:eastAsia="宋体" w:cs="宋体"/>
                <w:color w:val="FF0000"/>
                <w:sz w:val="24"/>
                <w:szCs w:val="24"/>
              </w:rPr>
              <w:t>[   ]</w:t>
            </w:r>
          </w:p>
        </w:tc>
        <w:tc>
          <w:tcPr>
            <w:tcW w:w="1121" w:type="dxa"/>
            <w:tcBorders>
              <w:top w:val="single" w:color="000000" w:sz="4" w:space="0"/>
              <w:left w:val="single" w:color="000000" w:sz="4" w:space="0"/>
              <w:bottom w:val="single" w:color="000000" w:sz="4" w:space="0"/>
              <w:right w:val="single" w:color="000000" w:sz="4" w:space="0"/>
            </w:tcBorders>
            <w:noWrap w:val="0"/>
            <w:vAlign w:val="center"/>
          </w:tcPr>
          <w:p w14:paraId="7DD0DEEB">
            <w:pPr>
              <w:wordWrap w:val="0"/>
              <w:spacing w:line="281" w:lineRule="auto"/>
              <w:jc w:val="center"/>
              <w:rPr>
                <w:rFonts w:ascii="宋体" w:hAnsi="宋体" w:eastAsia="宋体" w:cs="宋体"/>
                <w:color w:val="000000"/>
                <w:sz w:val="24"/>
                <w:szCs w:val="24"/>
              </w:rPr>
            </w:pPr>
            <w:r>
              <w:rPr>
                <w:rFonts w:ascii="宋体" w:hAnsi="宋体" w:eastAsia="宋体" w:cs="宋体"/>
                <w:color w:val="FF0000"/>
                <w:sz w:val="24"/>
                <w:szCs w:val="24"/>
              </w:rPr>
              <w:t>[   ]</w:t>
            </w:r>
          </w:p>
        </w:tc>
        <w:tc>
          <w:tcPr>
            <w:tcW w:w="2161" w:type="dxa"/>
            <w:tcBorders>
              <w:top w:val="single" w:color="000000" w:sz="4" w:space="0"/>
              <w:left w:val="single" w:color="000000" w:sz="4" w:space="0"/>
              <w:bottom w:val="single" w:color="000000" w:sz="4" w:space="0"/>
              <w:right w:val="single" w:color="000000" w:sz="4" w:space="0"/>
            </w:tcBorders>
            <w:noWrap w:val="0"/>
            <w:vAlign w:val="center"/>
          </w:tcPr>
          <w:p w14:paraId="1ABC5067">
            <w:pPr>
              <w:wordWrap w:val="0"/>
              <w:spacing w:line="281" w:lineRule="auto"/>
              <w:jc w:val="center"/>
              <w:rPr>
                <w:rFonts w:ascii="宋体" w:hAnsi="宋体" w:eastAsia="宋体" w:cs="宋体"/>
                <w:color w:val="000000"/>
                <w:sz w:val="24"/>
                <w:szCs w:val="24"/>
              </w:rPr>
            </w:pPr>
            <w:r>
              <w:rPr>
                <w:rFonts w:ascii="宋体" w:hAnsi="宋体" w:eastAsia="宋体" w:cs="宋体"/>
                <w:color w:val="FF0000"/>
                <w:sz w:val="24"/>
                <w:szCs w:val="24"/>
              </w:rPr>
              <w:t>[  ]</w:t>
            </w:r>
          </w:p>
        </w:tc>
        <w:tc>
          <w:tcPr>
            <w:tcW w:w="1419" w:type="dxa"/>
            <w:tcBorders>
              <w:top w:val="single" w:color="000000" w:sz="4" w:space="0"/>
              <w:left w:val="single" w:color="000000" w:sz="4" w:space="0"/>
              <w:bottom w:val="single" w:color="000000" w:sz="4" w:space="0"/>
              <w:right w:val="single" w:color="000000" w:sz="4" w:space="0"/>
            </w:tcBorders>
            <w:noWrap w:val="0"/>
            <w:vAlign w:val="center"/>
          </w:tcPr>
          <w:p w14:paraId="5C2F7722">
            <w:pPr>
              <w:wordWrap w:val="0"/>
              <w:spacing w:line="281" w:lineRule="auto"/>
              <w:jc w:val="center"/>
              <w:rPr>
                <w:rFonts w:ascii="宋体" w:hAnsi="宋体" w:eastAsia="宋体" w:cs="宋体"/>
                <w:color w:val="000000"/>
                <w:sz w:val="24"/>
                <w:szCs w:val="24"/>
              </w:rPr>
            </w:pPr>
            <w:r>
              <w:rPr>
                <w:rFonts w:ascii="宋体" w:hAnsi="宋体" w:eastAsia="宋体" w:cs="宋体"/>
                <w:color w:val="FF0000"/>
                <w:sz w:val="24"/>
                <w:szCs w:val="24"/>
              </w:rPr>
              <w:t>[   ]</w:t>
            </w:r>
          </w:p>
        </w:tc>
        <w:tc>
          <w:tcPr>
            <w:tcW w:w="2379" w:type="dxa"/>
            <w:tcBorders>
              <w:top w:val="single" w:color="000000" w:sz="4" w:space="0"/>
              <w:left w:val="single" w:color="000000" w:sz="4" w:space="0"/>
              <w:bottom w:val="single" w:color="000000" w:sz="4" w:space="0"/>
              <w:right w:val="single" w:color="000000" w:sz="4" w:space="0"/>
            </w:tcBorders>
            <w:noWrap w:val="0"/>
            <w:vAlign w:val="center"/>
          </w:tcPr>
          <w:p w14:paraId="3B4075BD">
            <w:pPr>
              <w:wordWrap w:val="0"/>
              <w:spacing w:line="281" w:lineRule="auto"/>
              <w:jc w:val="center"/>
              <w:rPr>
                <w:rFonts w:ascii="宋体" w:hAnsi="宋体" w:eastAsia="宋体" w:cs="宋体"/>
                <w:color w:val="000000"/>
                <w:sz w:val="24"/>
                <w:szCs w:val="24"/>
              </w:rPr>
            </w:pPr>
            <w:r>
              <w:rPr>
                <w:rFonts w:ascii="宋体" w:hAnsi="宋体" w:eastAsia="宋体" w:cs="宋体"/>
                <w:color w:val="FF0000"/>
                <w:sz w:val="24"/>
                <w:szCs w:val="24"/>
              </w:rPr>
              <w:t>[   ]</w:t>
            </w:r>
          </w:p>
        </w:tc>
        <w:tc>
          <w:tcPr>
            <w:tcW w:w="1283" w:type="dxa"/>
            <w:tcBorders>
              <w:top w:val="single" w:color="000000" w:sz="4" w:space="0"/>
              <w:left w:val="single" w:color="000000" w:sz="4" w:space="0"/>
              <w:bottom w:val="single" w:color="000000" w:sz="4" w:space="0"/>
              <w:right w:val="single" w:color="000000" w:sz="4" w:space="0"/>
            </w:tcBorders>
            <w:noWrap w:val="0"/>
            <w:vAlign w:val="center"/>
          </w:tcPr>
          <w:p w14:paraId="4D4B3C5D">
            <w:pPr>
              <w:wordWrap w:val="0"/>
              <w:spacing w:line="281" w:lineRule="auto"/>
              <w:jc w:val="center"/>
              <w:rPr>
                <w:rFonts w:ascii="宋体" w:hAnsi="宋体" w:eastAsia="宋体" w:cs="宋体"/>
                <w:color w:val="000000"/>
                <w:sz w:val="24"/>
                <w:szCs w:val="24"/>
              </w:rPr>
            </w:pPr>
            <w:r>
              <w:rPr>
                <w:rFonts w:ascii="宋体" w:hAnsi="宋体" w:eastAsia="宋体" w:cs="宋体"/>
                <w:color w:val="FF0000"/>
                <w:sz w:val="24"/>
                <w:szCs w:val="24"/>
              </w:rPr>
              <w:t>[   ]</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10A762C6">
            <w:pPr>
              <w:wordWrap w:val="0"/>
              <w:spacing w:line="281" w:lineRule="auto"/>
              <w:jc w:val="center"/>
              <w:rPr>
                <w:rFonts w:ascii="宋体" w:hAnsi="宋体" w:eastAsia="宋体" w:cs="宋体"/>
                <w:color w:val="000000"/>
                <w:sz w:val="24"/>
                <w:szCs w:val="24"/>
              </w:rPr>
            </w:pPr>
            <w:r>
              <w:rPr>
                <w:rFonts w:ascii="宋体" w:hAnsi="宋体" w:eastAsia="宋体" w:cs="宋体"/>
                <w:color w:val="FF0000"/>
                <w:sz w:val="24"/>
                <w:szCs w:val="24"/>
              </w:rPr>
              <w:t>[   ]</w:t>
            </w:r>
          </w:p>
        </w:tc>
      </w:tr>
      <w:tr w14:paraId="470F71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37" w:hRule="atLeast"/>
        </w:trPr>
        <w:tc>
          <w:tcPr>
            <w:tcW w:w="1028" w:type="dxa"/>
            <w:tcBorders>
              <w:top w:val="single" w:color="000000" w:sz="4" w:space="0"/>
              <w:left w:val="single" w:color="000000" w:sz="4" w:space="0"/>
              <w:bottom w:val="single" w:color="000000" w:sz="4" w:space="0"/>
              <w:right w:val="single" w:color="000000" w:sz="4" w:space="0"/>
            </w:tcBorders>
            <w:noWrap w:val="0"/>
            <w:vAlign w:val="center"/>
          </w:tcPr>
          <w:p w14:paraId="709E3A47">
            <w:pPr>
              <w:wordWrap w:val="0"/>
              <w:spacing w:line="281" w:lineRule="auto"/>
              <w:jc w:val="center"/>
              <w:rPr>
                <w:rFonts w:ascii="宋体" w:hAnsi="宋体" w:eastAsia="宋体" w:cs="宋体"/>
                <w:color w:val="000000"/>
                <w:sz w:val="24"/>
                <w:szCs w:val="24"/>
              </w:rPr>
            </w:pPr>
            <w:r>
              <w:rPr>
                <w:rFonts w:ascii="宋体" w:hAnsi="宋体" w:eastAsia="宋体" w:cs="宋体"/>
                <w:color w:val="FF0000"/>
                <w:sz w:val="24"/>
                <w:szCs w:val="24"/>
              </w:rPr>
              <w:t>[   ]</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1FC78DBE">
            <w:pPr>
              <w:wordWrap w:val="0"/>
              <w:spacing w:line="281" w:lineRule="auto"/>
              <w:jc w:val="center"/>
              <w:rPr>
                <w:rFonts w:ascii="宋体" w:hAnsi="宋体" w:eastAsia="宋体" w:cs="宋体"/>
                <w:color w:val="000000"/>
                <w:sz w:val="24"/>
                <w:szCs w:val="24"/>
              </w:rPr>
            </w:pPr>
            <w:r>
              <w:rPr>
                <w:rFonts w:ascii="宋体" w:hAnsi="宋体" w:eastAsia="宋体" w:cs="宋体"/>
                <w:color w:val="FF0000"/>
                <w:sz w:val="24"/>
                <w:szCs w:val="24"/>
              </w:rPr>
              <w:t>[     ]</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3DA31476">
            <w:pPr>
              <w:wordWrap w:val="0"/>
              <w:spacing w:line="281" w:lineRule="auto"/>
              <w:jc w:val="center"/>
              <w:rPr>
                <w:rFonts w:ascii="宋体" w:hAnsi="宋体" w:eastAsia="宋体" w:cs="宋体"/>
                <w:color w:val="000000"/>
                <w:sz w:val="24"/>
                <w:szCs w:val="24"/>
              </w:rPr>
            </w:pPr>
            <w:r>
              <w:rPr>
                <w:rFonts w:ascii="宋体" w:hAnsi="宋体" w:eastAsia="宋体" w:cs="宋体"/>
                <w:color w:val="FF0000"/>
                <w:sz w:val="24"/>
                <w:szCs w:val="24"/>
              </w:rPr>
              <w:t>[   ]</w:t>
            </w:r>
          </w:p>
        </w:tc>
        <w:tc>
          <w:tcPr>
            <w:tcW w:w="1121" w:type="dxa"/>
            <w:tcBorders>
              <w:top w:val="single" w:color="000000" w:sz="4" w:space="0"/>
              <w:left w:val="single" w:color="000000" w:sz="4" w:space="0"/>
              <w:bottom w:val="single" w:color="000000" w:sz="4" w:space="0"/>
              <w:right w:val="single" w:color="000000" w:sz="4" w:space="0"/>
            </w:tcBorders>
            <w:noWrap w:val="0"/>
            <w:vAlign w:val="center"/>
          </w:tcPr>
          <w:p w14:paraId="03CF21DB">
            <w:pPr>
              <w:wordWrap w:val="0"/>
              <w:spacing w:line="281" w:lineRule="auto"/>
              <w:jc w:val="center"/>
              <w:rPr>
                <w:rFonts w:ascii="宋体" w:hAnsi="宋体" w:eastAsia="宋体" w:cs="宋体"/>
                <w:color w:val="000000"/>
                <w:sz w:val="24"/>
                <w:szCs w:val="24"/>
              </w:rPr>
            </w:pPr>
            <w:r>
              <w:rPr>
                <w:rFonts w:ascii="宋体" w:hAnsi="宋体" w:eastAsia="宋体" w:cs="宋体"/>
                <w:color w:val="FF0000"/>
                <w:sz w:val="24"/>
                <w:szCs w:val="24"/>
              </w:rPr>
              <w:t>[   ]</w:t>
            </w:r>
          </w:p>
        </w:tc>
        <w:tc>
          <w:tcPr>
            <w:tcW w:w="2161" w:type="dxa"/>
            <w:tcBorders>
              <w:top w:val="single" w:color="000000" w:sz="4" w:space="0"/>
              <w:left w:val="single" w:color="000000" w:sz="4" w:space="0"/>
              <w:bottom w:val="single" w:color="000000" w:sz="4" w:space="0"/>
              <w:right w:val="single" w:color="000000" w:sz="4" w:space="0"/>
            </w:tcBorders>
            <w:noWrap w:val="0"/>
            <w:vAlign w:val="center"/>
          </w:tcPr>
          <w:p w14:paraId="0205F3CB">
            <w:pPr>
              <w:wordWrap w:val="0"/>
              <w:spacing w:line="281" w:lineRule="auto"/>
              <w:jc w:val="center"/>
              <w:rPr>
                <w:rFonts w:ascii="宋体" w:hAnsi="宋体" w:eastAsia="宋体" w:cs="宋体"/>
                <w:color w:val="000000"/>
                <w:sz w:val="24"/>
                <w:szCs w:val="24"/>
              </w:rPr>
            </w:pPr>
            <w:r>
              <w:rPr>
                <w:rFonts w:ascii="宋体" w:hAnsi="宋体" w:eastAsia="宋体" w:cs="宋体"/>
                <w:color w:val="FF0000"/>
                <w:sz w:val="24"/>
                <w:szCs w:val="24"/>
              </w:rPr>
              <w:t>[   ]</w:t>
            </w:r>
          </w:p>
        </w:tc>
        <w:tc>
          <w:tcPr>
            <w:tcW w:w="1419" w:type="dxa"/>
            <w:tcBorders>
              <w:top w:val="single" w:color="000000" w:sz="4" w:space="0"/>
              <w:left w:val="single" w:color="000000" w:sz="4" w:space="0"/>
              <w:bottom w:val="single" w:color="000000" w:sz="4" w:space="0"/>
              <w:right w:val="single" w:color="000000" w:sz="4" w:space="0"/>
            </w:tcBorders>
            <w:noWrap w:val="0"/>
            <w:vAlign w:val="center"/>
          </w:tcPr>
          <w:p w14:paraId="29E4C569">
            <w:pPr>
              <w:wordWrap w:val="0"/>
              <w:spacing w:line="281" w:lineRule="auto"/>
              <w:jc w:val="center"/>
              <w:rPr>
                <w:rFonts w:ascii="宋体" w:hAnsi="宋体" w:eastAsia="宋体" w:cs="宋体"/>
                <w:color w:val="000000"/>
                <w:sz w:val="24"/>
                <w:szCs w:val="24"/>
              </w:rPr>
            </w:pPr>
            <w:r>
              <w:rPr>
                <w:rFonts w:ascii="宋体" w:hAnsi="宋体" w:eastAsia="宋体" w:cs="宋体"/>
                <w:color w:val="FF0000"/>
                <w:sz w:val="24"/>
                <w:szCs w:val="24"/>
              </w:rPr>
              <w:t>[   ]</w:t>
            </w:r>
          </w:p>
        </w:tc>
        <w:tc>
          <w:tcPr>
            <w:tcW w:w="2379" w:type="dxa"/>
            <w:tcBorders>
              <w:top w:val="single" w:color="000000" w:sz="4" w:space="0"/>
              <w:left w:val="single" w:color="000000" w:sz="4" w:space="0"/>
              <w:bottom w:val="single" w:color="000000" w:sz="4" w:space="0"/>
              <w:right w:val="single" w:color="000000" w:sz="4" w:space="0"/>
            </w:tcBorders>
            <w:noWrap w:val="0"/>
            <w:vAlign w:val="center"/>
          </w:tcPr>
          <w:p w14:paraId="03D67949">
            <w:pPr>
              <w:wordWrap w:val="0"/>
              <w:spacing w:line="281" w:lineRule="auto"/>
              <w:jc w:val="center"/>
              <w:rPr>
                <w:rFonts w:ascii="宋体" w:hAnsi="宋体" w:eastAsia="宋体" w:cs="宋体"/>
                <w:color w:val="000000"/>
                <w:sz w:val="24"/>
                <w:szCs w:val="24"/>
              </w:rPr>
            </w:pPr>
            <w:r>
              <w:rPr>
                <w:rFonts w:ascii="宋体" w:hAnsi="宋体" w:eastAsia="宋体" w:cs="宋体"/>
                <w:color w:val="FF0000"/>
                <w:sz w:val="24"/>
                <w:szCs w:val="24"/>
              </w:rPr>
              <w:t>[   ]</w:t>
            </w:r>
          </w:p>
        </w:tc>
        <w:tc>
          <w:tcPr>
            <w:tcW w:w="1283" w:type="dxa"/>
            <w:tcBorders>
              <w:top w:val="single" w:color="000000" w:sz="4" w:space="0"/>
              <w:left w:val="single" w:color="000000" w:sz="4" w:space="0"/>
              <w:bottom w:val="single" w:color="000000" w:sz="4" w:space="0"/>
              <w:right w:val="single" w:color="000000" w:sz="4" w:space="0"/>
            </w:tcBorders>
            <w:noWrap w:val="0"/>
            <w:vAlign w:val="center"/>
          </w:tcPr>
          <w:p w14:paraId="30C4A30B">
            <w:pPr>
              <w:wordWrap w:val="0"/>
              <w:spacing w:line="281" w:lineRule="auto"/>
              <w:jc w:val="center"/>
              <w:rPr>
                <w:rFonts w:ascii="宋体" w:hAnsi="宋体" w:eastAsia="宋体" w:cs="宋体"/>
                <w:color w:val="000000"/>
                <w:sz w:val="24"/>
                <w:szCs w:val="24"/>
              </w:rPr>
            </w:pPr>
            <w:r>
              <w:rPr>
                <w:rFonts w:ascii="宋体" w:hAnsi="宋体" w:eastAsia="宋体" w:cs="宋体"/>
                <w:color w:val="FF0000"/>
                <w:sz w:val="24"/>
                <w:szCs w:val="24"/>
              </w:rPr>
              <w:t>[   ]</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7C35BFBB">
            <w:pPr>
              <w:wordWrap w:val="0"/>
              <w:spacing w:line="281" w:lineRule="auto"/>
              <w:jc w:val="center"/>
              <w:rPr>
                <w:rFonts w:ascii="宋体" w:hAnsi="宋体" w:eastAsia="宋体" w:cs="宋体"/>
                <w:color w:val="000000"/>
                <w:sz w:val="24"/>
                <w:szCs w:val="24"/>
              </w:rPr>
            </w:pPr>
            <w:r>
              <w:rPr>
                <w:rFonts w:ascii="宋体" w:hAnsi="宋体" w:eastAsia="宋体" w:cs="宋体"/>
                <w:color w:val="FF0000"/>
                <w:sz w:val="24"/>
                <w:szCs w:val="24"/>
              </w:rPr>
              <w:t>[   ]</w:t>
            </w:r>
          </w:p>
        </w:tc>
      </w:tr>
      <w:tr w14:paraId="6D34CB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34" w:hRule="atLeast"/>
        </w:trPr>
        <w:tc>
          <w:tcPr>
            <w:tcW w:w="1028" w:type="dxa"/>
            <w:tcBorders>
              <w:top w:val="single" w:color="000000" w:sz="4" w:space="0"/>
              <w:left w:val="single" w:color="000000" w:sz="4" w:space="0"/>
              <w:bottom w:val="single" w:color="000000" w:sz="4" w:space="0"/>
              <w:right w:val="single" w:color="000000" w:sz="4" w:space="0"/>
            </w:tcBorders>
            <w:noWrap w:val="0"/>
            <w:vAlign w:val="center"/>
          </w:tcPr>
          <w:p w14:paraId="795A71D7">
            <w:pPr>
              <w:wordWrap w:val="0"/>
              <w:spacing w:line="281" w:lineRule="auto"/>
              <w:jc w:val="center"/>
              <w:rPr>
                <w:rFonts w:ascii="宋体" w:hAnsi="宋体" w:eastAsia="宋体" w:cs="宋体"/>
                <w:color w:val="000000"/>
                <w:sz w:val="24"/>
                <w:szCs w:val="24"/>
              </w:rPr>
            </w:pPr>
            <w:r>
              <w:rPr>
                <w:rFonts w:ascii="宋体" w:hAnsi="宋体" w:eastAsia="宋体" w:cs="宋体"/>
                <w:color w:val="000000"/>
                <w:sz w:val="24"/>
                <w:szCs w:val="24"/>
              </w:rPr>
              <w:t>产品名称</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62399F93">
            <w:pPr>
              <w:wordWrap w:val="0"/>
              <w:spacing w:line="281" w:lineRule="auto"/>
              <w:jc w:val="center"/>
              <w:rPr>
                <w:rFonts w:ascii="宋体" w:hAnsi="宋体" w:eastAsia="宋体" w:cs="宋体"/>
                <w:color w:val="000000"/>
                <w:sz w:val="24"/>
                <w:szCs w:val="24"/>
              </w:rPr>
            </w:pPr>
            <w:r>
              <w:rPr>
                <w:rFonts w:ascii="宋体" w:hAnsi="宋体" w:eastAsia="宋体" w:cs="宋体"/>
                <w:color w:val="000000"/>
                <w:sz w:val="24"/>
                <w:szCs w:val="24"/>
              </w:rPr>
              <w:t>数量</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42AF88FA">
            <w:pPr>
              <w:wordWrap w:val="0"/>
              <w:spacing w:line="281" w:lineRule="auto"/>
              <w:jc w:val="center"/>
              <w:rPr>
                <w:rFonts w:ascii="宋体" w:hAnsi="宋体" w:eastAsia="宋体" w:cs="宋体"/>
                <w:color w:val="000000"/>
                <w:sz w:val="24"/>
                <w:szCs w:val="24"/>
              </w:rPr>
            </w:pPr>
            <w:r>
              <w:rPr>
                <w:rFonts w:ascii="宋体" w:hAnsi="宋体" w:eastAsia="宋体" w:cs="宋体"/>
                <w:color w:val="000000"/>
                <w:sz w:val="24"/>
                <w:szCs w:val="24"/>
              </w:rPr>
              <w:t>规格/速率</w:t>
            </w:r>
          </w:p>
        </w:tc>
        <w:tc>
          <w:tcPr>
            <w:tcW w:w="1121" w:type="dxa"/>
            <w:tcBorders>
              <w:top w:val="single" w:color="000000" w:sz="4" w:space="0"/>
              <w:left w:val="single" w:color="000000" w:sz="4" w:space="0"/>
              <w:bottom w:val="single" w:color="000000" w:sz="4" w:space="0"/>
              <w:right w:val="single" w:color="000000" w:sz="4" w:space="0"/>
            </w:tcBorders>
            <w:noWrap w:val="0"/>
            <w:vAlign w:val="center"/>
          </w:tcPr>
          <w:p w14:paraId="14EAB39D">
            <w:pPr>
              <w:wordWrap w:val="0"/>
              <w:spacing w:line="281" w:lineRule="auto"/>
              <w:jc w:val="center"/>
              <w:rPr>
                <w:rFonts w:ascii="宋体" w:hAnsi="宋体" w:eastAsia="宋体" w:cs="宋体"/>
                <w:color w:val="000000"/>
                <w:sz w:val="24"/>
                <w:szCs w:val="24"/>
              </w:rPr>
            </w:pPr>
            <w:r>
              <w:rPr>
                <w:rFonts w:ascii="宋体" w:hAnsi="宋体" w:eastAsia="宋体" w:cs="宋体"/>
                <w:color w:val="000000"/>
                <w:sz w:val="24"/>
                <w:szCs w:val="24"/>
              </w:rPr>
              <w:t>一次性调测费（元）</w:t>
            </w:r>
          </w:p>
        </w:tc>
        <w:tc>
          <w:tcPr>
            <w:tcW w:w="2161" w:type="dxa"/>
            <w:tcBorders>
              <w:top w:val="single" w:color="000000" w:sz="4" w:space="0"/>
              <w:left w:val="single" w:color="000000" w:sz="4" w:space="0"/>
              <w:bottom w:val="single" w:color="000000" w:sz="4" w:space="0"/>
              <w:right w:val="single" w:color="000000" w:sz="4" w:space="0"/>
            </w:tcBorders>
            <w:noWrap w:val="0"/>
            <w:vAlign w:val="center"/>
          </w:tcPr>
          <w:p w14:paraId="3A0A7165">
            <w:pPr>
              <w:wordWrap w:val="0"/>
              <w:spacing w:line="281" w:lineRule="auto"/>
              <w:jc w:val="center"/>
              <w:rPr>
                <w:rFonts w:ascii="宋体" w:hAnsi="宋体" w:eastAsia="宋体" w:cs="宋体"/>
                <w:color w:val="000000"/>
                <w:sz w:val="24"/>
                <w:szCs w:val="24"/>
              </w:rPr>
            </w:pPr>
            <w:r>
              <w:rPr>
                <w:rFonts w:ascii="宋体" w:hAnsi="宋体" w:eastAsia="宋体" w:cs="宋体"/>
                <w:color w:val="000000"/>
                <w:sz w:val="24"/>
                <w:szCs w:val="24"/>
              </w:rPr>
              <w:t>服务期限</w:t>
            </w:r>
          </w:p>
          <w:p w14:paraId="74496C28">
            <w:pPr>
              <w:wordWrap w:val="0"/>
              <w:spacing w:line="281" w:lineRule="auto"/>
              <w:jc w:val="center"/>
              <w:rPr>
                <w:rFonts w:ascii="宋体" w:hAnsi="宋体" w:eastAsia="宋体" w:cs="宋体"/>
                <w:color w:val="000000"/>
                <w:sz w:val="24"/>
                <w:szCs w:val="24"/>
              </w:rPr>
            </w:pPr>
            <w:r>
              <w:rPr>
                <w:rFonts w:ascii="宋体" w:hAnsi="宋体" w:eastAsia="宋体" w:cs="宋体"/>
                <w:color w:val="000000"/>
                <w:sz w:val="24"/>
                <w:szCs w:val="24"/>
              </w:rPr>
              <w:t>（月）</w:t>
            </w:r>
          </w:p>
        </w:tc>
        <w:tc>
          <w:tcPr>
            <w:tcW w:w="1419" w:type="dxa"/>
            <w:tcBorders>
              <w:top w:val="single" w:color="000000" w:sz="4" w:space="0"/>
              <w:left w:val="single" w:color="000000" w:sz="4" w:space="0"/>
              <w:bottom w:val="single" w:color="000000" w:sz="4" w:space="0"/>
              <w:right w:val="single" w:color="000000" w:sz="4" w:space="0"/>
            </w:tcBorders>
            <w:noWrap w:val="0"/>
            <w:vAlign w:val="center"/>
          </w:tcPr>
          <w:p w14:paraId="034D73EB">
            <w:pPr>
              <w:wordWrap w:val="0"/>
              <w:spacing w:line="281" w:lineRule="auto"/>
              <w:jc w:val="center"/>
              <w:rPr>
                <w:rFonts w:ascii="宋体" w:hAnsi="宋体" w:eastAsia="宋体" w:cs="宋体"/>
                <w:color w:val="000000"/>
                <w:sz w:val="24"/>
                <w:szCs w:val="24"/>
              </w:rPr>
            </w:pPr>
            <w:r>
              <w:rPr>
                <w:rFonts w:ascii="宋体" w:hAnsi="宋体" w:eastAsia="宋体" w:cs="宋体"/>
                <w:color w:val="000000"/>
                <w:sz w:val="24"/>
                <w:szCs w:val="24"/>
              </w:rPr>
              <w:t>单价</w:t>
            </w:r>
          </w:p>
          <w:p w14:paraId="3151144D">
            <w:pPr>
              <w:wordWrap w:val="0"/>
              <w:spacing w:line="281" w:lineRule="auto"/>
              <w:jc w:val="center"/>
              <w:rPr>
                <w:rFonts w:ascii="宋体" w:hAnsi="宋体" w:eastAsia="宋体" w:cs="宋体"/>
                <w:color w:val="000000"/>
                <w:sz w:val="24"/>
                <w:szCs w:val="24"/>
              </w:rPr>
            </w:pPr>
            <w:r>
              <w:rPr>
                <w:rFonts w:ascii="宋体" w:hAnsi="宋体" w:eastAsia="宋体" w:cs="宋体"/>
                <w:color w:val="000000"/>
                <w:sz w:val="24"/>
                <w:szCs w:val="24"/>
              </w:rPr>
              <w:t>（元/月）</w:t>
            </w:r>
          </w:p>
        </w:tc>
        <w:tc>
          <w:tcPr>
            <w:tcW w:w="2379" w:type="dxa"/>
            <w:tcBorders>
              <w:top w:val="single" w:color="000000" w:sz="4" w:space="0"/>
              <w:left w:val="single" w:color="000000" w:sz="4" w:space="0"/>
              <w:bottom w:val="single" w:color="000000" w:sz="4" w:space="0"/>
              <w:right w:val="single" w:color="000000" w:sz="4" w:space="0"/>
            </w:tcBorders>
            <w:noWrap w:val="0"/>
            <w:vAlign w:val="center"/>
          </w:tcPr>
          <w:p w14:paraId="7B9BF058">
            <w:pPr>
              <w:wordWrap w:val="0"/>
              <w:spacing w:line="281" w:lineRule="auto"/>
              <w:jc w:val="center"/>
              <w:rPr>
                <w:rFonts w:ascii="宋体" w:hAnsi="宋体" w:eastAsia="宋体" w:cs="宋体"/>
                <w:color w:val="000000"/>
                <w:sz w:val="24"/>
                <w:szCs w:val="24"/>
              </w:rPr>
            </w:pPr>
            <w:r>
              <w:rPr>
                <w:rFonts w:ascii="宋体" w:hAnsi="宋体" w:eastAsia="宋体" w:cs="宋体"/>
                <w:color w:val="000000"/>
                <w:sz w:val="24"/>
                <w:szCs w:val="24"/>
              </w:rPr>
              <w:t>小计（元）</w:t>
            </w:r>
          </w:p>
        </w:tc>
        <w:tc>
          <w:tcPr>
            <w:tcW w:w="1283" w:type="dxa"/>
            <w:tcBorders>
              <w:top w:val="single" w:color="000000" w:sz="4" w:space="0"/>
              <w:left w:val="single" w:color="000000" w:sz="4" w:space="0"/>
              <w:bottom w:val="single" w:color="000000" w:sz="4" w:space="0"/>
              <w:right w:val="single" w:color="000000" w:sz="4" w:space="0"/>
            </w:tcBorders>
            <w:noWrap w:val="0"/>
            <w:vAlign w:val="center"/>
          </w:tcPr>
          <w:p w14:paraId="2382D25D">
            <w:pPr>
              <w:wordWrap w:val="0"/>
              <w:spacing w:line="281" w:lineRule="auto"/>
              <w:jc w:val="center"/>
              <w:rPr>
                <w:rFonts w:ascii="宋体" w:hAnsi="宋体" w:eastAsia="宋体" w:cs="宋体"/>
                <w:color w:val="000000"/>
                <w:sz w:val="24"/>
                <w:szCs w:val="24"/>
              </w:rPr>
            </w:pP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12024F4F">
            <w:pPr>
              <w:wordWrap w:val="0"/>
              <w:spacing w:line="281" w:lineRule="auto"/>
              <w:jc w:val="center"/>
              <w:rPr>
                <w:rFonts w:ascii="宋体" w:hAnsi="宋体" w:eastAsia="宋体" w:cs="宋体"/>
                <w:color w:val="000000"/>
                <w:sz w:val="24"/>
                <w:szCs w:val="24"/>
              </w:rPr>
            </w:pPr>
          </w:p>
        </w:tc>
      </w:tr>
      <w:tr w14:paraId="339F8F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37" w:hRule="atLeast"/>
        </w:trPr>
        <w:tc>
          <w:tcPr>
            <w:tcW w:w="1028" w:type="dxa"/>
            <w:tcBorders>
              <w:top w:val="single" w:color="000000" w:sz="4" w:space="0"/>
              <w:left w:val="single" w:color="000000" w:sz="4" w:space="0"/>
              <w:bottom w:val="single" w:color="000000" w:sz="4" w:space="0"/>
              <w:right w:val="single" w:color="000000" w:sz="4" w:space="0"/>
            </w:tcBorders>
            <w:noWrap w:val="0"/>
            <w:vAlign w:val="center"/>
          </w:tcPr>
          <w:p w14:paraId="51BC2577">
            <w:pPr>
              <w:wordWrap w:val="0"/>
              <w:spacing w:line="281" w:lineRule="auto"/>
              <w:jc w:val="center"/>
              <w:rPr>
                <w:rFonts w:ascii="宋体" w:hAnsi="宋体" w:eastAsia="宋体" w:cs="宋体"/>
                <w:color w:val="FF0000"/>
                <w:sz w:val="24"/>
                <w:szCs w:val="24"/>
              </w:rPr>
            </w:pPr>
            <w:r>
              <w:rPr>
                <w:rFonts w:ascii="宋体" w:hAnsi="宋体" w:eastAsia="宋体" w:cs="宋体"/>
                <w:color w:val="FF0000"/>
                <w:sz w:val="24"/>
                <w:szCs w:val="24"/>
              </w:rPr>
              <w:t>（此行不涉及融合业务可不填写）</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7C0E4D47">
            <w:pPr>
              <w:wordWrap w:val="0"/>
              <w:spacing w:line="281" w:lineRule="auto"/>
              <w:jc w:val="center"/>
              <w:rPr>
                <w:rFonts w:ascii="宋体" w:hAnsi="宋体" w:eastAsia="宋体" w:cs="宋体"/>
                <w:color w:val="FF0000"/>
                <w:sz w:val="24"/>
                <w:szCs w:val="24"/>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2D7F6E46">
            <w:pPr>
              <w:wordWrap w:val="0"/>
              <w:spacing w:line="281" w:lineRule="auto"/>
              <w:jc w:val="center"/>
              <w:rPr>
                <w:rFonts w:ascii="宋体" w:hAnsi="宋体" w:eastAsia="宋体" w:cs="宋体"/>
                <w:color w:val="FF0000"/>
                <w:sz w:val="24"/>
                <w:szCs w:val="24"/>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14:paraId="3E8CD963">
            <w:pPr>
              <w:wordWrap w:val="0"/>
              <w:spacing w:line="281" w:lineRule="auto"/>
              <w:jc w:val="center"/>
              <w:rPr>
                <w:rFonts w:ascii="宋体" w:hAnsi="宋体" w:eastAsia="宋体" w:cs="宋体"/>
                <w:color w:val="FF0000"/>
                <w:sz w:val="24"/>
                <w:szCs w:val="24"/>
              </w:rPr>
            </w:pPr>
          </w:p>
        </w:tc>
        <w:tc>
          <w:tcPr>
            <w:tcW w:w="2161" w:type="dxa"/>
            <w:tcBorders>
              <w:top w:val="single" w:color="000000" w:sz="4" w:space="0"/>
              <w:left w:val="single" w:color="000000" w:sz="4" w:space="0"/>
              <w:bottom w:val="single" w:color="000000" w:sz="4" w:space="0"/>
              <w:right w:val="single" w:color="000000" w:sz="4" w:space="0"/>
            </w:tcBorders>
            <w:noWrap w:val="0"/>
            <w:vAlign w:val="center"/>
          </w:tcPr>
          <w:p w14:paraId="5836F142">
            <w:pPr>
              <w:wordWrap w:val="0"/>
              <w:spacing w:line="281" w:lineRule="auto"/>
              <w:jc w:val="center"/>
              <w:rPr>
                <w:rFonts w:ascii="宋体" w:hAnsi="宋体" w:eastAsia="宋体" w:cs="宋体"/>
                <w:color w:val="FF0000"/>
                <w:sz w:val="24"/>
                <w:szCs w:val="24"/>
              </w:rPr>
            </w:pPr>
          </w:p>
        </w:tc>
        <w:tc>
          <w:tcPr>
            <w:tcW w:w="1419" w:type="dxa"/>
            <w:tcBorders>
              <w:top w:val="single" w:color="000000" w:sz="4" w:space="0"/>
              <w:left w:val="single" w:color="000000" w:sz="4" w:space="0"/>
              <w:bottom w:val="single" w:color="000000" w:sz="4" w:space="0"/>
              <w:right w:val="single" w:color="000000" w:sz="4" w:space="0"/>
            </w:tcBorders>
            <w:noWrap w:val="0"/>
            <w:vAlign w:val="center"/>
          </w:tcPr>
          <w:p w14:paraId="54006A00">
            <w:pPr>
              <w:wordWrap w:val="0"/>
              <w:spacing w:line="281" w:lineRule="auto"/>
              <w:jc w:val="center"/>
              <w:rPr>
                <w:rFonts w:ascii="宋体" w:hAnsi="宋体" w:eastAsia="宋体" w:cs="宋体"/>
                <w:color w:val="FF0000"/>
                <w:sz w:val="24"/>
                <w:szCs w:val="24"/>
              </w:rPr>
            </w:pPr>
          </w:p>
        </w:tc>
        <w:tc>
          <w:tcPr>
            <w:tcW w:w="2379" w:type="dxa"/>
            <w:tcBorders>
              <w:top w:val="single" w:color="000000" w:sz="4" w:space="0"/>
              <w:left w:val="single" w:color="000000" w:sz="4" w:space="0"/>
              <w:bottom w:val="single" w:color="000000" w:sz="4" w:space="0"/>
              <w:right w:val="single" w:color="000000" w:sz="4" w:space="0"/>
            </w:tcBorders>
            <w:noWrap w:val="0"/>
            <w:vAlign w:val="center"/>
          </w:tcPr>
          <w:p w14:paraId="6E44B669">
            <w:pPr>
              <w:wordWrap w:val="0"/>
              <w:spacing w:line="281" w:lineRule="auto"/>
              <w:jc w:val="center"/>
              <w:rPr>
                <w:rFonts w:ascii="宋体" w:hAnsi="宋体" w:eastAsia="宋体" w:cs="宋体"/>
                <w:color w:val="FF0000"/>
                <w:sz w:val="24"/>
                <w:szCs w:val="24"/>
              </w:rPr>
            </w:pPr>
          </w:p>
        </w:tc>
        <w:tc>
          <w:tcPr>
            <w:tcW w:w="1283" w:type="dxa"/>
            <w:tcBorders>
              <w:top w:val="single" w:color="000000" w:sz="4" w:space="0"/>
              <w:left w:val="single" w:color="000000" w:sz="4" w:space="0"/>
              <w:bottom w:val="single" w:color="000000" w:sz="4" w:space="0"/>
              <w:right w:val="single" w:color="000000" w:sz="4" w:space="0"/>
            </w:tcBorders>
            <w:noWrap w:val="0"/>
            <w:vAlign w:val="center"/>
          </w:tcPr>
          <w:p w14:paraId="3F3F3D7E">
            <w:pPr>
              <w:wordWrap w:val="0"/>
              <w:spacing w:line="281" w:lineRule="auto"/>
              <w:jc w:val="center"/>
              <w:rPr>
                <w:rFonts w:ascii="宋体" w:hAnsi="宋体" w:eastAsia="宋体" w:cs="宋体"/>
                <w:color w:val="000000"/>
                <w:sz w:val="24"/>
                <w:szCs w:val="24"/>
              </w:rPr>
            </w:pP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6B3ACDDC">
            <w:pPr>
              <w:wordWrap w:val="0"/>
              <w:spacing w:line="281" w:lineRule="auto"/>
              <w:jc w:val="center"/>
              <w:rPr>
                <w:rFonts w:ascii="宋体" w:hAnsi="宋体" w:eastAsia="宋体" w:cs="宋体"/>
                <w:color w:val="000000"/>
                <w:sz w:val="24"/>
                <w:szCs w:val="24"/>
              </w:rPr>
            </w:pPr>
          </w:p>
        </w:tc>
      </w:tr>
      <w:tr w14:paraId="08B159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37" w:hRule="atLeast"/>
        </w:trPr>
        <w:tc>
          <w:tcPr>
            <w:tcW w:w="1028" w:type="dxa"/>
            <w:tcBorders>
              <w:top w:val="single" w:color="000000" w:sz="4" w:space="0"/>
              <w:left w:val="single" w:color="000000" w:sz="4" w:space="0"/>
              <w:bottom w:val="single" w:color="000000" w:sz="4" w:space="0"/>
              <w:right w:val="single" w:color="000000" w:sz="4" w:space="0"/>
            </w:tcBorders>
            <w:noWrap w:val="0"/>
            <w:vAlign w:val="center"/>
          </w:tcPr>
          <w:p w14:paraId="39908355">
            <w:pPr>
              <w:wordWrap w:val="0"/>
              <w:spacing w:line="281" w:lineRule="auto"/>
              <w:jc w:val="center"/>
              <w:rPr>
                <w:rFonts w:ascii="宋体" w:hAnsi="宋体" w:eastAsia="宋体" w:cs="宋体"/>
                <w:color w:val="000000"/>
                <w:sz w:val="24"/>
                <w:szCs w:val="24"/>
              </w:rPr>
            </w:pPr>
            <w:r>
              <w:rPr>
                <w:rFonts w:ascii="宋体" w:hAnsi="宋体" w:eastAsia="宋体" w:cs="宋体"/>
                <w:color w:val="FF0000"/>
                <w:sz w:val="24"/>
                <w:szCs w:val="24"/>
              </w:rPr>
              <w:t>[   ]</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68FBA620">
            <w:pPr>
              <w:wordWrap w:val="0"/>
              <w:spacing w:line="281" w:lineRule="auto"/>
              <w:jc w:val="center"/>
              <w:rPr>
                <w:rFonts w:ascii="宋体" w:hAnsi="宋体" w:eastAsia="宋体" w:cs="宋体"/>
                <w:color w:val="000000"/>
                <w:sz w:val="24"/>
                <w:szCs w:val="24"/>
              </w:rPr>
            </w:pPr>
            <w:r>
              <w:rPr>
                <w:rFonts w:ascii="宋体" w:hAnsi="宋体" w:eastAsia="宋体" w:cs="宋体"/>
                <w:color w:val="FF0000"/>
                <w:sz w:val="24"/>
                <w:szCs w:val="24"/>
              </w:rPr>
              <w:t>[   ]</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29C2DC17">
            <w:pPr>
              <w:wordWrap w:val="0"/>
              <w:spacing w:line="281" w:lineRule="auto"/>
              <w:jc w:val="center"/>
              <w:rPr>
                <w:rFonts w:ascii="宋体" w:hAnsi="宋体" w:eastAsia="宋体" w:cs="宋体"/>
                <w:color w:val="000000"/>
                <w:sz w:val="24"/>
                <w:szCs w:val="24"/>
              </w:rPr>
            </w:pPr>
            <w:r>
              <w:rPr>
                <w:rFonts w:ascii="宋体" w:hAnsi="宋体" w:eastAsia="宋体" w:cs="宋体"/>
                <w:color w:val="FF0000"/>
                <w:sz w:val="24"/>
                <w:szCs w:val="24"/>
              </w:rPr>
              <w:t>[   ]</w:t>
            </w:r>
          </w:p>
        </w:tc>
        <w:tc>
          <w:tcPr>
            <w:tcW w:w="1121" w:type="dxa"/>
            <w:tcBorders>
              <w:top w:val="single" w:color="000000" w:sz="4" w:space="0"/>
              <w:left w:val="single" w:color="000000" w:sz="4" w:space="0"/>
              <w:bottom w:val="single" w:color="000000" w:sz="4" w:space="0"/>
              <w:right w:val="single" w:color="000000" w:sz="4" w:space="0"/>
            </w:tcBorders>
            <w:noWrap w:val="0"/>
            <w:vAlign w:val="center"/>
          </w:tcPr>
          <w:p w14:paraId="222D27BE">
            <w:pPr>
              <w:wordWrap w:val="0"/>
              <w:spacing w:line="281" w:lineRule="auto"/>
              <w:jc w:val="center"/>
              <w:rPr>
                <w:rFonts w:ascii="宋体" w:hAnsi="宋体" w:eastAsia="宋体" w:cs="宋体"/>
                <w:color w:val="000000"/>
                <w:sz w:val="24"/>
                <w:szCs w:val="24"/>
              </w:rPr>
            </w:pPr>
            <w:r>
              <w:rPr>
                <w:rFonts w:ascii="宋体" w:hAnsi="宋体" w:eastAsia="宋体" w:cs="宋体"/>
                <w:color w:val="FF0000"/>
                <w:sz w:val="24"/>
                <w:szCs w:val="24"/>
              </w:rPr>
              <w:t>[   ]</w:t>
            </w:r>
          </w:p>
        </w:tc>
        <w:tc>
          <w:tcPr>
            <w:tcW w:w="2161" w:type="dxa"/>
            <w:tcBorders>
              <w:top w:val="single" w:color="000000" w:sz="4" w:space="0"/>
              <w:left w:val="single" w:color="000000" w:sz="4" w:space="0"/>
              <w:bottom w:val="single" w:color="000000" w:sz="4" w:space="0"/>
              <w:right w:val="single" w:color="000000" w:sz="4" w:space="0"/>
            </w:tcBorders>
            <w:noWrap w:val="0"/>
            <w:vAlign w:val="center"/>
          </w:tcPr>
          <w:p w14:paraId="177B3D6D">
            <w:pPr>
              <w:wordWrap w:val="0"/>
              <w:spacing w:line="281" w:lineRule="auto"/>
              <w:jc w:val="center"/>
              <w:rPr>
                <w:rFonts w:ascii="宋体" w:hAnsi="宋体" w:eastAsia="宋体" w:cs="宋体"/>
                <w:color w:val="000000"/>
                <w:sz w:val="24"/>
                <w:szCs w:val="24"/>
              </w:rPr>
            </w:pPr>
            <w:r>
              <w:rPr>
                <w:rFonts w:ascii="宋体" w:hAnsi="宋体" w:eastAsia="宋体" w:cs="宋体"/>
                <w:color w:val="FF0000"/>
                <w:sz w:val="24"/>
                <w:szCs w:val="24"/>
              </w:rPr>
              <w:t>[   ]</w:t>
            </w:r>
          </w:p>
        </w:tc>
        <w:tc>
          <w:tcPr>
            <w:tcW w:w="1419" w:type="dxa"/>
            <w:tcBorders>
              <w:top w:val="single" w:color="000000" w:sz="4" w:space="0"/>
              <w:left w:val="single" w:color="000000" w:sz="4" w:space="0"/>
              <w:bottom w:val="single" w:color="000000" w:sz="4" w:space="0"/>
              <w:right w:val="single" w:color="000000" w:sz="4" w:space="0"/>
            </w:tcBorders>
            <w:noWrap w:val="0"/>
            <w:vAlign w:val="center"/>
          </w:tcPr>
          <w:p w14:paraId="556E8BD7">
            <w:pPr>
              <w:wordWrap w:val="0"/>
              <w:spacing w:line="281" w:lineRule="auto"/>
              <w:jc w:val="center"/>
              <w:rPr>
                <w:rFonts w:ascii="宋体" w:hAnsi="宋体" w:eastAsia="宋体" w:cs="宋体"/>
                <w:color w:val="000000"/>
                <w:sz w:val="24"/>
                <w:szCs w:val="24"/>
              </w:rPr>
            </w:pPr>
            <w:r>
              <w:rPr>
                <w:rFonts w:ascii="宋体" w:hAnsi="宋体" w:eastAsia="宋体" w:cs="宋体"/>
                <w:color w:val="FF0000"/>
                <w:sz w:val="24"/>
                <w:szCs w:val="24"/>
              </w:rPr>
              <w:t>[   ]</w:t>
            </w:r>
          </w:p>
        </w:tc>
        <w:tc>
          <w:tcPr>
            <w:tcW w:w="2379" w:type="dxa"/>
            <w:tcBorders>
              <w:top w:val="single" w:color="000000" w:sz="4" w:space="0"/>
              <w:left w:val="single" w:color="000000" w:sz="4" w:space="0"/>
              <w:bottom w:val="single" w:color="000000" w:sz="4" w:space="0"/>
              <w:right w:val="single" w:color="000000" w:sz="4" w:space="0"/>
            </w:tcBorders>
            <w:noWrap w:val="0"/>
            <w:vAlign w:val="center"/>
          </w:tcPr>
          <w:p w14:paraId="7D9BA93C">
            <w:pPr>
              <w:wordWrap w:val="0"/>
              <w:spacing w:line="281" w:lineRule="auto"/>
              <w:jc w:val="center"/>
              <w:rPr>
                <w:rFonts w:ascii="宋体" w:hAnsi="宋体" w:eastAsia="宋体" w:cs="宋体"/>
                <w:color w:val="000000"/>
                <w:sz w:val="24"/>
                <w:szCs w:val="24"/>
              </w:rPr>
            </w:pPr>
            <w:r>
              <w:rPr>
                <w:rFonts w:ascii="宋体" w:hAnsi="宋体" w:eastAsia="宋体" w:cs="宋体"/>
                <w:color w:val="FF0000"/>
                <w:sz w:val="24"/>
                <w:szCs w:val="24"/>
              </w:rPr>
              <w:t>[   ]</w:t>
            </w:r>
          </w:p>
        </w:tc>
        <w:tc>
          <w:tcPr>
            <w:tcW w:w="1283" w:type="dxa"/>
            <w:tcBorders>
              <w:top w:val="single" w:color="000000" w:sz="4" w:space="0"/>
              <w:left w:val="single" w:color="000000" w:sz="4" w:space="0"/>
              <w:bottom w:val="single" w:color="000000" w:sz="4" w:space="0"/>
              <w:right w:val="single" w:color="000000" w:sz="4" w:space="0"/>
            </w:tcBorders>
            <w:noWrap w:val="0"/>
            <w:vAlign w:val="center"/>
          </w:tcPr>
          <w:p w14:paraId="63C82A2B">
            <w:pPr>
              <w:wordWrap w:val="0"/>
              <w:spacing w:line="281" w:lineRule="auto"/>
              <w:jc w:val="center"/>
              <w:rPr>
                <w:rFonts w:ascii="宋体" w:hAnsi="宋体" w:eastAsia="宋体" w:cs="宋体"/>
                <w:color w:val="000000"/>
                <w:sz w:val="24"/>
                <w:szCs w:val="24"/>
              </w:rPr>
            </w:pPr>
            <w:r>
              <w:rPr>
                <w:rFonts w:ascii="宋体" w:hAnsi="宋体" w:eastAsia="宋体" w:cs="宋体"/>
                <w:color w:val="FF0000"/>
                <w:sz w:val="24"/>
                <w:szCs w:val="24"/>
              </w:rPr>
              <w:t>[   ]</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7ED7CB7B">
            <w:pPr>
              <w:wordWrap w:val="0"/>
              <w:spacing w:line="281" w:lineRule="auto"/>
              <w:jc w:val="center"/>
              <w:rPr>
                <w:rFonts w:ascii="宋体" w:hAnsi="宋体" w:eastAsia="宋体" w:cs="宋体"/>
                <w:color w:val="000000"/>
                <w:sz w:val="24"/>
                <w:szCs w:val="24"/>
              </w:rPr>
            </w:pPr>
            <w:r>
              <w:rPr>
                <w:rFonts w:ascii="宋体" w:hAnsi="宋体" w:eastAsia="宋体" w:cs="宋体"/>
                <w:color w:val="FF0000"/>
                <w:sz w:val="24"/>
                <w:szCs w:val="24"/>
              </w:rPr>
              <w:t>[   ]</w:t>
            </w:r>
          </w:p>
        </w:tc>
      </w:tr>
      <w:tr w14:paraId="672C57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37" w:hRule="atLeast"/>
        </w:trPr>
        <w:tc>
          <w:tcPr>
            <w:tcW w:w="1028" w:type="dxa"/>
            <w:tcBorders>
              <w:top w:val="single" w:color="000000" w:sz="4" w:space="0"/>
              <w:left w:val="single" w:color="000000" w:sz="4" w:space="0"/>
              <w:bottom w:val="single" w:color="000000" w:sz="4" w:space="0"/>
              <w:right w:val="single" w:color="000000" w:sz="4" w:space="0"/>
            </w:tcBorders>
            <w:noWrap w:val="0"/>
            <w:vAlign w:val="center"/>
          </w:tcPr>
          <w:p w14:paraId="4BCDFFEF">
            <w:pPr>
              <w:wordWrap w:val="0"/>
              <w:spacing w:line="281" w:lineRule="auto"/>
              <w:jc w:val="center"/>
              <w:rPr>
                <w:rFonts w:ascii="宋体" w:hAnsi="宋体" w:eastAsia="宋体" w:cs="宋体"/>
                <w:color w:val="000000"/>
                <w:sz w:val="24"/>
                <w:szCs w:val="24"/>
              </w:rPr>
            </w:pPr>
            <w:r>
              <w:rPr>
                <w:rFonts w:ascii="宋体" w:hAnsi="宋体" w:eastAsia="宋体" w:cs="宋体"/>
                <w:color w:val="000000"/>
                <w:sz w:val="24"/>
                <w:szCs w:val="24"/>
              </w:rPr>
              <w:t>小计</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6A4DE1BD">
            <w:pPr>
              <w:wordWrap w:val="0"/>
              <w:spacing w:line="281" w:lineRule="auto"/>
              <w:jc w:val="center"/>
              <w:rPr>
                <w:rFonts w:ascii="宋体" w:hAnsi="宋体" w:eastAsia="宋体" w:cs="宋体"/>
                <w:color w:val="000000"/>
                <w:sz w:val="24"/>
                <w:szCs w:val="24"/>
              </w:rPr>
            </w:pPr>
            <w:r>
              <w:rPr>
                <w:rFonts w:ascii="宋体" w:hAnsi="宋体" w:eastAsia="宋体" w:cs="宋体"/>
                <w:color w:val="FF0000"/>
                <w:sz w:val="24"/>
                <w:szCs w:val="24"/>
              </w:rPr>
              <w:t>[   ]</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5673C3D0">
            <w:pPr>
              <w:wordWrap w:val="0"/>
              <w:spacing w:line="281" w:lineRule="auto"/>
              <w:jc w:val="center"/>
              <w:rPr>
                <w:rFonts w:ascii="宋体" w:hAnsi="宋体" w:eastAsia="宋体" w:cs="宋体"/>
                <w:color w:val="000000"/>
                <w:sz w:val="24"/>
                <w:szCs w:val="24"/>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14:paraId="531E1F1C">
            <w:pPr>
              <w:wordWrap w:val="0"/>
              <w:spacing w:line="281" w:lineRule="auto"/>
              <w:jc w:val="center"/>
              <w:rPr>
                <w:rFonts w:ascii="宋体" w:hAnsi="宋体" w:eastAsia="宋体" w:cs="宋体"/>
                <w:color w:val="000000"/>
                <w:sz w:val="24"/>
                <w:szCs w:val="24"/>
              </w:rPr>
            </w:pPr>
          </w:p>
        </w:tc>
        <w:tc>
          <w:tcPr>
            <w:tcW w:w="2161" w:type="dxa"/>
            <w:tcBorders>
              <w:top w:val="single" w:color="000000" w:sz="4" w:space="0"/>
              <w:left w:val="single" w:color="000000" w:sz="4" w:space="0"/>
              <w:bottom w:val="single" w:color="000000" w:sz="4" w:space="0"/>
              <w:right w:val="single" w:color="000000" w:sz="4" w:space="0"/>
            </w:tcBorders>
            <w:noWrap w:val="0"/>
            <w:vAlign w:val="center"/>
          </w:tcPr>
          <w:p w14:paraId="07AADB6A">
            <w:pPr>
              <w:wordWrap w:val="0"/>
              <w:spacing w:line="281" w:lineRule="auto"/>
              <w:jc w:val="center"/>
              <w:rPr>
                <w:rFonts w:ascii="宋体" w:hAnsi="宋体" w:eastAsia="宋体" w:cs="宋体"/>
                <w:color w:val="000000"/>
                <w:sz w:val="24"/>
                <w:szCs w:val="24"/>
              </w:rPr>
            </w:pPr>
          </w:p>
        </w:tc>
        <w:tc>
          <w:tcPr>
            <w:tcW w:w="1419" w:type="dxa"/>
            <w:tcBorders>
              <w:top w:val="single" w:color="000000" w:sz="4" w:space="0"/>
              <w:left w:val="single" w:color="000000" w:sz="4" w:space="0"/>
              <w:bottom w:val="single" w:color="000000" w:sz="4" w:space="0"/>
              <w:right w:val="single" w:color="000000" w:sz="4" w:space="0"/>
            </w:tcBorders>
            <w:noWrap w:val="0"/>
            <w:vAlign w:val="center"/>
          </w:tcPr>
          <w:p w14:paraId="0D514378">
            <w:pPr>
              <w:wordWrap w:val="0"/>
              <w:spacing w:line="281" w:lineRule="auto"/>
              <w:jc w:val="center"/>
              <w:rPr>
                <w:rFonts w:ascii="宋体" w:hAnsi="宋体" w:eastAsia="宋体" w:cs="宋体"/>
                <w:color w:val="000000"/>
                <w:sz w:val="24"/>
                <w:szCs w:val="24"/>
              </w:rPr>
            </w:pPr>
          </w:p>
        </w:tc>
        <w:tc>
          <w:tcPr>
            <w:tcW w:w="2379" w:type="dxa"/>
            <w:tcBorders>
              <w:top w:val="single" w:color="000000" w:sz="4" w:space="0"/>
              <w:left w:val="single" w:color="000000" w:sz="4" w:space="0"/>
              <w:bottom w:val="single" w:color="000000" w:sz="4" w:space="0"/>
              <w:right w:val="single" w:color="000000" w:sz="4" w:space="0"/>
            </w:tcBorders>
            <w:noWrap w:val="0"/>
            <w:vAlign w:val="center"/>
          </w:tcPr>
          <w:p w14:paraId="4EC8653A">
            <w:pPr>
              <w:wordWrap w:val="0"/>
              <w:spacing w:line="281" w:lineRule="auto"/>
              <w:jc w:val="center"/>
              <w:rPr>
                <w:rFonts w:ascii="宋体" w:hAnsi="宋体" w:eastAsia="宋体" w:cs="宋体"/>
                <w:color w:val="000000"/>
                <w:sz w:val="24"/>
                <w:szCs w:val="24"/>
              </w:rPr>
            </w:pPr>
          </w:p>
        </w:tc>
        <w:tc>
          <w:tcPr>
            <w:tcW w:w="1283" w:type="dxa"/>
            <w:tcBorders>
              <w:top w:val="single" w:color="000000" w:sz="4" w:space="0"/>
              <w:left w:val="single" w:color="000000" w:sz="4" w:space="0"/>
              <w:bottom w:val="single" w:color="000000" w:sz="4" w:space="0"/>
              <w:right w:val="single" w:color="000000" w:sz="4" w:space="0"/>
            </w:tcBorders>
            <w:noWrap w:val="0"/>
            <w:vAlign w:val="center"/>
          </w:tcPr>
          <w:p w14:paraId="1F9A6D5F">
            <w:pPr>
              <w:wordWrap w:val="0"/>
              <w:spacing w:line="281" w:lineRule="auto"/>
              <w:jc w:val="center"/>
              <w:rPr>
                <w:rFonts w:ascii="宋体" w:hAnsi="宋体" w:eastAsia="宋体" w:cs="宋体"/>
                <w:color w:val="000000"/>
                <w:sz w:val="24"/>
                <w:szCs w:val="24"/>
              </w:rPr>
            </w:pP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38A86D4E">
            <w:pPr>
              <w:wordWrap w:val="0"/>
              <w:spacing w:line="281" w:lineRule="auto"/>
              <w:jc w:val="center"/>
              <w:rPr>
                <w:rFonts w:ascii="宋体" w:hAnsi="宋体" w:eastAsia="宋体" w:cs="宋体"/>
                <w:color w:val="000000"/>
                <w:sz w:val="24"/>
                <w:szCs w:val="24"/>
              </w:rPr>
            </w:pPr>
          </w:p>
        </w:tc>
      </w:tr>
      <w:tr w14:paraId="36D516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37" w:hRule="atLeast"/>
        </w:trPr>
        <w:tc>
          <w:tcPr>
            <w:tcW w:w="7430" w:type="dxa"/>
            <w:gridSpan w:val="6"/>
            <w:tcBorders>
              <w:top w:val="single" w:color="000000" w:sz="4" w:space="0"/>
              <w:left w:val="single" w:color="000000" w:sz="4" w:space="0"/>
              <w:bottom w:val="single" w:color="000000" w:sz="4" w:space="0"/>
              <w:right w:val="single" w:color="000000" w:sz="4" w:space="0"/>
            </w:tcBorders>
            <w:noWrap w:val="0"/>
            <w:vAlign w:val="center"/>
          </w:tcPr>
          <w:p w14:paraId="5E6ADA0F">
            <w:pPr>
              <w:wordWrap w:val="0"/>
              <w:spacing w:line="281" w:lineRule="auto"/>
              <w:jc w:val="center"/>
              <w:rPr>
                <w:rFonts w:ascii="宋体" w:hAnsi="宋体" w:eastAsia="宋体" w:cs="宋体"/>
                <w:color w:val="000000"/>
                <w:sz w:val="24"/>
                <w:szCs w:val="24"/>
              </w:rPr>
            </w:pPr>
            <w:r>
              <w:rPr>
                <w:rFonts w:ascii="宋体" w:hAnsi="宋体" w:eastAsia="宋体" w:cs="宋体"/>
                <w:color w:val="000000"/>
                <w:sz w:val="24"/>
                <w:szCs w:val="24"/>
              </w:rPr>
              <w:t>总计（元）（合同有效期总金额）：</w:t>
            </w:r>
            <w:r>
              <w:rPr>
                <w:rFonts w:ascii="宋体" w:hAnsi="宋体" w:eastAsia="宋体" w:cs="宋体"/>
                <w:color w:val="FF0000"/>
                <w:sz w:val="24"/>
                <w:szCs w:val="24"/>
              </w:rPr>
              <w:t>[   ]</w:t>
            </w:r>
          </w:p>
        </w:tc>
        <w:tc>
          <w:tcPr>
            <w:tcW w:w="2379" w:type="dxa"/>
            <w:tcBorders>
              <w:top w:val="single" w:color="000000" w:sz="4" w:space="0"/>
              <w:left w:val="single" w:color="000000" w:sz="4" w:space="0"/>
              <w:bottom w:val="single" w:color="000000" w:sz="4" w:space="0"/>
              <w:right w:val="single" w:color="000000" w:sz="4" w:space="0"/>
            </w:tcBorders>
            <w:noWrap w:val="0"/>
            <w:vAlign w:val="center"/>
          </w:tcPr>
          <w:p w14:paraId="41CE1AB1">
            <w:pPr>
              <w:wordWrap w:val="0"/>
              <w:spacing w:line="281" w:lineRule="auto"/>
              <w:jc w:val="center"/>
              <w:rPr>
                <w:rFonts w:ascii="宋体" w:hAnsi="宋体" w:eastAsia="宋体" w:cs="宋体"/>
                <w:color w:val="000000"/>
                <w:sz w:val="24"/>
                <w:szCs w:val="24"/>
              </w:rPr>
            </w:pPr>
          </w:p>
        </w:tc>
        <w:tc>
          <w:tcPr>
            <w:tcW w:w="1283" w:type="dxa"/>
            <w:tcBorders>
              <w:top w:val="single" w:color="000000" w:sz="4" w:space="0"/>
              <w:left w:val="single" w:color="000000" w:sz="4" w:space="0"/>
              <w:bottom w:val="single" w:color="000000" w:sz="4" w:space="0"/>
              <w:right w:val="single" w:color="000000" w:sz="4" w:space="0"/>
            </w:tcBorders>
            <w:noWrap w:val="0"/>
            <w:vAlign w:val="center"/>
          </w:tcPr>
          <w:p w14:paraId="4D062369">
            <w:pPr>
              <w:wordWrap w:val="0"/>
              <w:spacing w:line="281" w:lineRule="auto"/>
              <w:jc w:val="center"/>
              <w:rPr>
                <w:rFonts w:ascii="宋体" w:hAnsi="宋体" w:eastAsia="宋体" w:cs="宋体"/>
                <w:color w:val="000000"/>
                <w:sz w:val="24"/>
                <w:szCs w:val="24"/>
              </w:rPr>
            </w:pPr>
          </w:p>
        </w:tc>
        <w:tc>
          <w:tcPr>
            <w:tcW w:w="2835" w:type="dxa"/>
            <w:tcBorders>
              <w:top w:val="single" w:color="000000" w:sz="4" w:space="0"/>
              <w:left w:val="single" w:color="000000" w:sz="4" w:space="0"/>
              <w:bottom w:val="single" w:color="000000" w:sz="4" w:space="0"/>
              <w:right w:val="single" w:color="000000" w:sz="4" w:space="0"/>
            </w:tcBorders>
            <w:noWrap w:val="0"/>
            <w:vAlign w:val="center"/>
          </w:tcPr>
          <w:p w14:paraId="301A4352">
            <w:pPr>
              <w:wordWrap w:val="0"/>
              <w:spacing w:line="281" w:lineRule="auto"/>
              <w:jc w:val="center"/>
              <w:rPr>
                <w:rFonts w:ascii="宋体" w:hAnsi="宋体" w:eastAsia="宋体" w:cs="宋体"/>
                <w:color w:val="000000"/>
                <w:sz w:val="24"/>
                <w:szCs w:val="24"/>
              </w:rPr>
            </w:pPr>
          </w:p>
        </w:tc>
      </w:tr>
    </w:tbl>
    <w:p w14:paraId="41F08921">
      <w:pPr>
        <w:wordWrap w:val="0"/>
        <w:ind w:firstLine="360" w:firstLineChars="150"/>
        <w:rPr>
          <w:rFonts w:hint="eastAsia" w:ascii="宋体" w:hAnsi="宋体" w:cs="宋体"/>
          <w:color w:val="000000"/>
          <w:sz w:val="24"/>
          <w:szCs w:val="24"/>
        </w:rPr>
        <w:sectPr>
          <w:headerReference r:id="rId4" w:type="default"/>
          <w:footerReference r:id="rId5" w:type="default"/>
          <w:pgSz w:w="16840" w:h="11910" w:orient="landscape"/>
          <w:pgMar w:top="400" w:right="1540" w:bottom="1200" w:left="1300" w:header="0" w:footer="1007" w:gutter="0"/>
          <w:cols w:space="720" w:num="1"/>
        </w:sectPr>
      </w:pPr>
    </w:p>
    <w:p w14:paraId="0C6D0CEE">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附件二</w:t>
      </w:r>
    </w:p>
    <w:p w14:paraId="39BDDB11">
      <w:pPr>
        <w:wordWrap w:val="0"/>
        <w:spacing w:line="360" w:lineRule="auto"/>
        <w:jc w:val="center"/>
        <w:outlineLvl w:val="1"/>
        <w:rPr>
          <w:rFonts w:hint="eastAsia" w:ascii="宋体" w:hAnsi="宋体" w:eastAsia="宋体" w:cs="宋体"/>
          <w:b/>
          <w:bCs/>
          <w:sz w:val="24"/>
          <w:szCs w:val="24"/>
        </w:rPr>
      </w:pPr>
      <w:r>
        <w:rPr>
          <w:rFonts w:hint="eastAsia" w:ascii="宋体" w:hAnsi="宋体" w:eastAsia="宋体" w:cs="宋体"/>
          <w:b/>
          <w:bCs/>
          <w:sz w:val="24"/>
          <w:szCs w:val="24"/>
        </w:rPr>
        <w:t>用户入网责任书</w:t>
      </w:r>
    </w:p>
    <w:p w14:paraId="2526E888">
      <w:pPr>
        <w:wordWrap w:val="0"/>
        <w:spacing w:line="360" w:lineRule="auto"/>
        <w:ind w:firstLine="482" w:firstLineChars="200"/>
        <w:jc w:val="left"/>
        <w:rPr>
          <w:rFonts w:hint="eastAsia" w:ascii="宋体" w:hAnsi="宋体" w:eastAsia="宋体" w:cs="宋体"/>
          <w:b/>
          <w:sz w:val="24"/>
          <w:szCs w:val="24"/>
        </w:rPr>
      </w:pPr>
    </w:p>
    <w:p w14:paraId="6882CB58">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甲方作为接入中国电信公网的用户（“用户”），承诺已经认真阅读《用户入网责任书》（“《责任书》”），并自觉遵守《责任书》的各项规定。</w:t>
      </w:r>
    </w:p>
    <w:p w14:paraId="646CFC2F">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一、用户接入中国电信公网，应遵守国家的有关法律、法规和行政规章制度。</w:t>
      </w:r>
    </w:p>
    <w:p w14:paraId="00F55FA2">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二、用户保证具备从事互联网服务的全部合法必要的资质条件，包括但不限于营</w:t>
      </w:r>
    </w:p>
    <w:p w14:paraId="61B152CA">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业执照、增值电信业务经营许可证、广告经营许可证、税务登记证、非经营性互联网信息服务备案证明以及中国电信要求提交的其他资质证明，方得以使用中国电信所提供服务。用户并应于签订《互联网专线业务服务合同》（合同）之前,向中国电信提供前述资质证明文件的原件交中国电信审核，复印件加盖公章提交中国电信备案。其中：</w:t>
      </w:r>
    </w:p>
    <w:p w14:paraId="473FCB2B">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用户如从事电子公告、新闻、出版、教育、医疗保健、药品和医疗器械、文化、广播电影电视节目等特殊互联网信息服务，应当根据法律、行政法规以及国家有关规定经有关主管部门审核同意，履行批准或备案手续，并取得相关通信管理部门批准或备案文件。</w:t>
      </w:r>
    </w:p>
    <w:p w14:paraId="00039109">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用户如从事非经营性互联网信息服务，保证已首先登录工业和信息化部备案管理系统履行互联网备案手续，并按期履行年度审核手续。如当地通信管理部门要求履行非经营性互联网信息服务备案手续的，还应向其住所所在地通信管理部门履行非经营性互联网信息服务备案手续。</w:t>
      </w:r>
    </w:p>
    <w:p w14:paraId="47ECB541">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3、用户如从事经营性互联网服务，应当取得相应的增值电信业务经营许可证。</w:t>
      </w:r>
    </w:p>
    <w:p w14:paraId="5416B251">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用户如从事经营性互联网服务，应当在其网站主页的显著位置标明其经营许可证编号；用户如从事非经营性互联网服务，用户网站开通时在主页底部的中央位置标明其备案编号，并在备案编号下方链接工业和信息化部备案管理系统网址，供公众查询核对，用户还需按照工业和信息化部备案管理系统的要求，将备案电子验证标识放置在其网站的指定目录下。</w:t>
      </w:r>
    </w:p>
    <w:p w14:paraId="4DC076C1">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5、用户保证已履行其他法律、法规及部门规章所规定的手续或已取得有关资质证明文件。</w:t>
      </w:r>
    </w:p>
    <w:p w14:paraId="5F4B55FB">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三、用户不能利用中国电信公网从事危害国家安全、泄露国家机密等犯罪活动，不能利用中国电信公网查阅、复制和传播危害国家安全、妨碍社会治安和淫秽黄色的信息，不能利用电信公网发布恶意的、向他人挑衅的信息。若发现此类信息，中国电信立即向相关部门报告，一切后果由用户自行负责。</w:t>
      </w:r>
    </w:p>
    <w:p w14:paraId="058BC875">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四、用户应当建立有效的安全保密制度和技术保证措施，有义务按照中国电信的要求提供网络使用情况和有关资料，接受中国电信的网络安全管理和信息安全管理监控；用户需要提供其信息服务的有效检测手段，包括测试账号和密码，并在账号变更时书面通知中国电信。</w:t>
      </w:r>
    </w:p>
    <w:p w14:paraId="01C1DC1C">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五、用户在使用中国电信时，不得从事危害他人信息系统和网络安全、侵犯他人权益的活动。当网络出现异常情况，应积极配合中国电信解决，用户维护设备或进行设备配置参数调整应当接受机房维护管理约定以避免对其他用户造成影响。</w:t>
      </w:r>
    </w:p>
    <w:p w14:paraId="09CED205">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六、用户使用互联网专线，不得以任何方式经营未经政府管理部门批准的业务或《互联网专线业务服务合同》中未约定同意开展的业务，对于中国电信分配的IP地址，用户只有使用权。</w:t>
      </w:r>
    </w:p>
    <w:p w14:paraId="072AC12C">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七、用户应遵循合同以及中国电信相关管理规定，否则中国电信有权实施相关处罚，包括停机，拆机处理，直至追究法律责任。</w:t>
      </w:r>
    </w:p>
    <w:p w14:paraId="2EBECC06">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八、根据当地公安局网监分局的要求，用户应在入网后5个工作日内在网上提</w:t>
      </w:r>
    </w:p>
    <w:p w14:paraId="06298659">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交备案信息，提交信息后10个工作日内到当地公安局网监分局办理备案业务，相关法律法规、备案流程、备案材料清单请查阅全国统一的备案管理网站：</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"http://www.miibeian.gov.cn/" \h </w:instrText>
      </w:r>
      <w:r>
        <w:rPr>
          <w:rFonts w:hint="eastAsia" w:ascii="宋体" w:hAnsi="宋体" w:eastAsia="宋体" w:cs="宋体"/>
          <w:sz w:val="24"/>
          <w:szCs w:val="24"/>
        </w:rPr>
        <w:fldChar w:fldCharType="separate"/>
      </w:r>
      <w:r>
        <w:rPr>
          <w:rFonts w:hint="eastAsia" w:ascii="宋体" w:hAnsi="宋体" w:eastAsia="宋体" w:cs="宋体"/>
          <w:color w:val="0000FF"/>
          <w:sz w:val="24"/>
          <w:szCs w:val="24"/>
          <w:u w:val="single" w:color="0000FF"/>
        </w:rPr>
        <w:t>http://www.miibeian.gov.cn</w:t>
      </w:r>
      <w:r>
        <w:rPr>
          <w:rFonts w:hint="eastAsia" w:ascii="宋体" w:hAnsi="宋体" w:eastAsia="宋体" w:cs="宋体"/>
          <w:color w:val="0000FF"/>
          <w:sz w:val="24"/>
          <w:szCs w:val="24"/>
          <w:u w:val="single" w:color="0000FF"/>
        </w:rPr>
        <w:fldChar w:fldCharType="end"/>
      </w:r>
    </w:p>
    <w:p w14:paraId="55A966B6">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九、如用户违反上述保证，中国电信有权拒绝或停止提供服务或设施，并要求用户在限期内改正。如用户在限期内未改正的，中国电信有权终止合同，并不承担任何责任；用户存在前述情形给中国电信造成损失的，并应当予以赔偿。</w:t>
      </w:r>
    </w:p>
    <w:p w14:paraId="64E667A7">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十、用户的各级主管人员有责任教育、监督本单位职工严格遵守上述条款。</w:t>
      </w:r>
    </w:p>
    <w:p w14:paraId="306DD0D6">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十一、用户承诺与最终用户参照签订此类《互联网专线业务用户入网责任书》，并督促最终用户履行相应责任，否则，用户承担连带责任。</w:t>
      </w:r>
    </w:p>
    <w:p w14:paraId="61E43B3B">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十二、作为中国电信用户，同意遵守《用户入网责任书》中的各项规定，如违反规定，愿意依据相关法律规定以及合同和本文件的有关规定承担违约等责任。</w:t>
      </w:r>
    </w:p>
    <w:p w14:paraId="565E9DC6">
      <w:pPr>
        <w:wordWrap w:val="0"/>
        <w:spacing w:line="360" w:lineRule="auto"/>
        <w:ind w:firstLine="480" w:firstLineChars="200"/>
        <w:jc w:val="left"/>
        <w:rPr>
          <w:rFonts w:hint="eastAsia" w:ascii="宋体" w:hAnsi="宋体" w:eastAsia="宋体" w:cs="宋体"/>
          <w:sz w:val="24"/>
          <w:szCs w:val="24"/>
        </w:rPr>
      </w:pPr>
    </w:p>
    <w:p w14:paraId="59281EFC">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用户盖章：</w:t>
      </w:r>
    </w:p>
    <w:p w14:paraId="7596AD1D">
      <w:pPr>
        <w:wordWrap w:val="0"/>
        <w:spacing w:line="360" w:lineRule="auto"/>
        <w:ind w:firstLine="480" w:firstLineChars="200"/>
        <w:jc w:val="left"/>
        <w:rPr>
          <w:rFonts w:hint="eastAsia" w:ascii="宋体" w:hAnsi="宋体" w:eastAsia="宋体" w:cs="宋体"/>
          <w:sz w:val="24"/>
          <w:szCs w:val="24"/>
        </w:rPr>
      </w:pPr>
    </w:p>
    <w:p w14:paraId="7151D2DD">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法定代表人/负责人或授权代表（签字）：</w:t>
      </w:r>
    </w:p>
    <w:p w14:paraId="5286AD6B">
      <w:pPr>
        <w:wordWrap w:val="0"/>
        <w:spacing w:line="280" w:lineRule="auto"/>
        <w:rPr>
          <w:rFonts w:hint="eastAsia" w:ascii="宋体" w:hAnsi="宋体" w:cs="宋体"/>
          <w:sz w:val="24"/>
          <w:szCs w:val="24"/>
        </w:rPr>
        <w:sectPr>
          <w:headerReference r:id="rId6" w:type="default"/>
          <w:footerReference r:id="rId7" w:type="default"/>
          <w:pgSz w:w="11910" w:h="16840"/>
          <w:pgMar w:top="1420" w:right="1020" w:bottom="1200" w:left="1600" w:header="479" w:footer="1007" w:gutter="0"/>
          <w:cols w:space="720" w:num="1"/>
        </w:sectPr>
      </w:pPr>
    </w:p>
    <w:p w14:paraId="148D96DA">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附件三</w:t>
      </w:r>
    </w:p>
    <w:p w14:paraId="6559712E">
      <w:pPr>
        <w:wordWrap w:val="0"/>
        <w:spacing w:line="360" w:lineRule="auto"/>
        <w:jc w:val="center"/>
        <w:outlineLvl w:val="1"/>
        <w:rPr>
          <w:rFonts w:hint="eastAsia" w:ascii="宋体" w:hAnsi="宋体" w:eastAsia="宋体" w:cs="宋体"/>
          <w:b/>
          <w:bCs/>
          <w:sz w:val="24"/>
          <w:szCs w:val="24"/>
        </w:rPr>
      </w:pPr>
      <w:r>
        <w:rPr>
          <w:rFonts w:hint="eastAsia" w:ascii="宋体" w:hAnsi="宋体" w:eastAsia="宋体" w:cs="宋体"/>
          <w:b/>
          <w:bCs/>
          <w:sz w:val="24"/>
          <w:szCs w:val="24"/>
        </w:rPr>
        <w:t>网络及信息安全承诺书</w:t>
      </w:r>
    </w:p>
    <w:p w14:paraId="6AD183FB">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本单位郑重承诺遵守本承诺书，如有违反本承诺书有关条款的行为，本单位承担由此带来的一切民事、行政和刑事责任。</w:t>
      </w:r>
    </w:p>
    <w:p w14:paraId="5E61D077">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一、本单位承诺遵守《中华人民共和国网络安全法》《中华人民共和国数据安全法》《中华人民共和国个人信息保护法》《全国人民代表大会常务委员会关于加强网络信息保护的决定》《中华人民共和国电信条例》《中华人民共和国计算机信息系统安全保护条例》《计算机信息网络国际联网安全保护管理办法》《互联网信息服务管理办法》《非经营性互联网信息服务备案管理办法》《移动互联网应用程序信息服务管理规定》《电信和互联网用户个人信息保护规定》和《公共互联网网络安全突发事件应急预案》及有关法律、法规、规章和政策文件规定（“相关规定”）。</w:t>
      </w:r>
    </w:p>
    <w:p w14:paraId="3FEA143C">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二、本单位承诺按照相关规定、政府主管部门要求以及合同约定规范使用业务，不得超出合同约定的范围和用途使用业务，具备所从事业务的全部合法必要的资质条件。</w:t>
      </w:r>
    </w:p>
    <w:p w14:paraId="1A80F105">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三、本单位承诺按照用户真实身份信息制度（“实名制”）的要求提供身份信息、使用业务，并保证所提供信息、资料的真实、完整、准确、有效。</w:t>
      </w:r>
    </w:p>
    <w:p w14:paraId="12780041">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四、本单位保证不利用网络（包括但不限于固定网、移动网、互联网，下同）从事危害国家安全、泄露国家秘密等违法犯罪活动，不侵犯他人的合法权益。</w:t>
      </w:r>
    </w:p>
    <w:p w14:paraId="4C2962A3">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五、本单位处理个人信息前，已依法向个人信息主体（“个人”）履行了法定告知义务并取得个人的明确同意。法律、行政法规规定处理个人信息应当取得个人单独同意或者书面同意的，本单位已依法取得了个人单独同意或书面同意。</w:t>
      </w:r>
    </w:p>
    <w:p w14:paraId="231861ED">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六、本单位向贵公司提供个人信息或委托贵公司处理个人信息的，本单位承诺已向个人履行了法定告知义务，并取得了个人同意。本单位向贵公司提供或委托贵公司处理的个人信息和数据的，本单位承诺该等个人信息和数据来源合法合规，不存在违反法律法规、监管要求的情况。</w:t>
      </w:r>
    </w:p>
    <w:p w14:paraId="5391EB60">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七、本单位受贵公司委托处理个人信息和数据的，或本单位与贵公司共同处理个人信息和数据的，本单位按照与贵公司的合同约定处理个人信息，不得超出约定的处理目的、处理方式等处理个人信息。</w:t>
      </w:r>
    </w:p>
    <w:p w14:paraId="2ADA6DA2">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八、本单位承诺严格按照国家相关法律法规做好本单位网络安全、数据安全和个人信息保护管理工作，健全各项网络安全、数据安全和个人信息保护管理制度和操作规程，落实各项安全保护技术措施，实施个人信息和数据安全分级分类管理、依法落实个人信息保护影响评估和数据安全影响评估安全风险评估、报告、信息共享、监测预警机制，定期对从业人员进行安全教育和培训，依法设置网络安全、数据安全和个人信息保护责任人和管理机构，按政府主管部门要求设立信息安全责任人和信息安全审查员，当安全责任人发生变更时及时通知贵公司。否则，导致的一切后果由本单位承担，贵公司有权立即终止合同。</w:t>
      </w:r>
    </w:p>
    <w:p w14:paraId="68931987">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九、本单位承诺配合贵公司为公安机关、国家安全机关等政府部门依法维护国家安全和侦查犯罪的活动提供协助，如实提供有关安全保护的信息、资料及数据文件，积极协助查处信息网络违法犯罪行为。</w:t>
      </w:r>
    </w:p>
    <w:p w14:paraId="115917C2">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十、本单位承诺发送信息的真实性、准确性、合法性，承诺发布的内容应当严格遵守相关规定，不通过网络制作、复制、查阅和传播有害信息，不得散发传播违法、不健康反动等信息，不得制作、复制、查阅和传播任何含有违反下列要求的内容之一（即“九不准”及“六不许”内容）的信息：</w:t>
      </w:r>
    </w:p>
    <w:p w14:paraId="6B381599">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“九不准”，即不准制作、复制、查阅和传播含有以下内容的信息：</w:t>
      </w:r>
    </w:p>
    <w:p w14:paraId="2872987A">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1、反对宪法所确定的基本原则的；</w:t>
      </w:r>
    </w:p>
    <w:p w14:paraId="7B788615">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2、危害国家安全，泄露国家秘密，颠覆国家政权，破坏国家统一的；</w:t>
      </w:r>
    </w:p>
    <w:p w14:paraId="31AB199A">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3、损害国家荣誉和利益的；</w:t>
      </w:r>
    </w:p>
    <w:p w14:paraId="3B490D9B">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4、煽动民族仇恨、民族歧视，破坏民族团结的；</w:t>
      </w:r>
    </w:p>
    <w:p w14:paraId="12B8B2B8">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5、破坏国家宗教政策，宣扬邪教和封建迷信的；</w:t>
      </w:r>
    </w:p>
    <w:p w14:paraId="5E74478D">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6、散布谣言，扰乱社会秩序，破坏社会稳定的；</w:t>
      </w:r>
    </w:p>
    <w:p w14:paraId="727D6ECF">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7、散布淫秽、色情、赌博、暴力、凶杀、恐怖或者教唆犯罪的；</w:t>
      </w:r>
    </w:p>
    <w:p w14:paraId="4E68BE91">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8、侮辱或者诽谤他人，侵害他人合法权益的；</w:t>
      </w:r>
    </w:p>
    <w:p w14:paraId="79DF690B">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9、含有法律法规禁止的其他内容的。“六不许”，即：</w:t>
      </w:r>
    </w:p>
    <w:p w14:paraId="4EDDCE7C">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1、决不允许在群众中散布违背党的理论和路线方针政策的意见；</w:t>
      </w:r>
    </w:p>
    <w:p w14:paraId="05645B5E">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2、决不允许公开发表同中央的决定相违背的言论；</w:t>
      </w:r>
    </w:p>
    <w:p w14:paraId="7D57C74E">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3、决不允许对中央的决策部署阳奉阴违；</w:t>
      </w:r>
    </w:p>
    <w:p w14:paraId="088D1255">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4、决不允许编造、传播政治谣言及丑化党和国家形象的言论；</w:t>
      </w:r>
    </w:p>
    <w:p w14:paraId="59A75462">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5、决不允许以任何形式泄露党和国家的秘密；</w:t>
      </w:r>
    </w:p>
    <w:p w14:paraId="002030C9">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6、决不允许参与各种非法组织和非法活动。</w:t>
      </w:r>
    </w:p>
    <w:p w14:paraId="3541456E">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十一、本单位承诺不从事任何危害网络安全、数据安全和侵害个人信息合法权益的活动，包括但不限于：</w:t>
      </w:r>
    </w:p>
    <w:p w14:paraId="18E0839F">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1、未经允许进入网络或者使用网络资源的；</w:t>
      </w:r>
    </w:p>
    <w:p w14:paraId="2749C3B0">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2、未经允许对网络功能进行删除、修改或者增加的；</w:t>
      </w:r>
    </w:p>
    <w:p w14:paraId="3747AE66">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3、未经允许对网络中存储或者传输的数据和应用程序进行删除、修改或者增加的；</w:t>
      </w:r>
    </w:p>
    <w:p w14:paraId="742E315D">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4、故意制作、传播网络病毒等破坏性程序的；</w:t>
      </w:r>
    </w:p>
    <w:p w14:paraId="28F1D55C">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5、非法收集、使用、加工、传输或以其他方式处理个人信息；</w:t>
      </w:r>
    </w:p>
    <w:p w14:paraId="59FCA22C">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6、非法买卖、提供或者公开个人信息；</w:t>
      </w:r>
    </w:p>
    <w:p w14:paraId="068CC6D5">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7、从事危害国家安全、公共利益的个人信息和数据处理活动；</w:t>
      </w:r>
    </w:p>
    <w:p w14:paraId="0C792F13">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8、其他危害网络安全的。</w:t>
      </w:r>
    </w:p>
    <w:p w14:paraId="55B11C50">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十二、本单位使用语音接入类业务的（包括但不限于语音专线、短号码接入、400号码接入等），承诺遵守以下规定：</w:t>
      </w:r>
    </w:p>
    <w:p w14:paraId="577E1A9D">
      <w:pPr>
        <w:tabs>
          <w:tab w:val="left" w:pos="3574"/>
          <w:tab w:val="left" w:pos="5727"/>
        </w:tabs>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（一）使用业务的时段为[/]，使用的频次为[/]，业务外呼呼转功能默认为关闭。</w:t>
      </w:r>
    </w:p>
    <w:p w14:paraId="5FC78FBA">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（二）遵守实名制要求，不以个人名义申请、使用业务，真实落地目的码为本单位实名办理或合规使用的电话号码。</w:t>
      </w:r>
    </w:p>
    <w:p w14:paraId="76F33BEB">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（三）不转租、转售业务，否则，贵公司有权在不通知本单位的情况下立即终止合同。</w:t>
      </w:r>
    </w:p>
    <w:p w14:paraId="1406C533">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四）规范使用业务，进行外呼业务的号码为贵公司或通信主管部门分配的号码，严格按照通信主管部门关于号码传送及信令传送的相关要求传送号码，传送真实号码，不擅自更改、传送、显示非合同约定的号码、虚假号码、违规号码、无使用权号码，不隐藏、转让、变更、转租、转售、伪造、变造或者变相隐藏、转让、变更、转租、转售、伪造、变造号码。本单位承诺按要求提供所申请号码的使用用途、开放范围，不违规经营、不变更合同约定的使用用途，不开展无特定主被叫的话务批发业务，不私自转接国际来话，不通过技术手段为非法VoIP、改号电话、网络电话（PC软件/APP等）提供语音落地，不采取自动语音群呼方式进行外呼。如违反上述承诺，贵公司有权在不通知本单位的情况下立即单方终止合同，所造成的一切后果由本单位承担。</w:t>
      </w:r>
    </w:p>
    <w:p w14:paraId="7D6EE27D">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五）不通过任何技术手段将号码转接到其他地区使用，不通过VOIP转接互联网话务量，不使用业务进行多次转接、躲避号码溯源与甄别，呼叫中心或接入平台（小交换机）不使用异地主叫号码进行跨省外呼，不利用号码和平台进行电话诈骗、骚扰。诈骗或骚扰包括但不限于以下情形：</w:t>
      </w:r>
    </w:p>
    <w:p w14:paraId="219EB862">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1、政府主管部门认定号码涉嫌诈骗或其他刑事案件的；</w:t>
      </w:r>
    </w:p>
    <w:p w14:paraId="02FBF19B">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2、“12321网络不良与垃圾信息举报受理中心”接到的用户投诉、举报涉及本单位所使用号码的；</w:t>
      </w:r>
    </w:p>
    <w:p w14:paraId="40E118B0">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3、贵公司或通信主管部门电话拨测、网络信令监测过程中发现本单位所使用号码出现异常外呼情况的。</w:t>
      </w:r>
    </w:p>
    <w:p w14:paraId="547C9B03">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六）建立有效的信息安全管理制度和技术保障措施，确保备份呼叫内容录音文件，并接受政府主管部门及贵公司的管理、监督和检查，为相关主管部门提供技术支持。如相关规定、政府主管部门对信息安全管理有新要求，本单位将无条件配合贵公司落实整改举措，直至符合相关规定、政府主管部门的要求。</w:t>
      </w:r>
    </w:p>
    <w:p w14:paraId="3390F209">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十三、本单位使用无线互联网（包括但不限于CDMA1X、CDMA1XEVDO、WLAN）、短信网关（包括但不限于短消息资讯平台、ISAG系统、综合办公业务平台）或短信类业务的，承诺遵守以下规定：</w:t>
      </w:r>
    </w:p>
    <w:p w14:paraId="5D61E9BA">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（一）不通过业务制作、复制、查阅和传播悖于社会公德、损害青少年身心健康的网络低俗内容，包括但不限于：</w:t>
      </w:r>
    </w:p>
    <w:p w14:paraId="6DBB2759">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1、表现或隐晦表现性行为、令人产生性联想、具有挑逗性或者污辱性的内容；</w:t>
      </w:r>
    </w:p>
    <w:p w14:paraId="058A7FA4">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2、对人体性部位的直接暴露和描写；</w:t>
      </w:r>
    </w:p>
    <w:p w14:paraId="345208F7">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3、对性行为、性过程、性方式的描述或者带有性暗示、性挑逗的语言；</w:t>
      </w:r>
    </w:p>
    <w:p w14:paraId="6C2FE6D5">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4、对性部位描述、暴露，或者只用很小遮盖物的内容；</w:t>
      </w:r>
    </w:p>
    <w:p w14:paraId="3F2A2B61">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5、全身或者隐私部位未着衣物，仅用肢体掩盖隐私部位的内容；</w:t>
      </w:r>
    </w:p>
    <w:p w14:paraId="195A6018">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6、带有侵犯个人隐私性质的走光、偷拍、漏点等内容；</w:t>
      </w:r>
    </w:p>
    <w:p w14:paraId="454463AF">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7、以挑逗性标题吸引点击的；</w:t>
      </w:r>
    </w:p>
    <w:p w14:paraId="1E8148AE">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8、相关部门禁止传播的色情、低俗小说，音视频内容，包括一些电影的删节片断；</w:t>
      </w:r>
    </w:p>
    <w:p w14:paraId="0B78939B">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9、一夜情、换妻、SM等不正当交友信息；</w:t>
      </w:r>
    </w:p>
    <w:p w14:paraId="557C0997">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10、情色动漫；</w:t>
      </w:r>
    </w:p>
    <w:p w14:paraId="514D21AE">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11、宣扬血腥暴力、恶意谩骂、侮辱他人等内容；</w:t>
      </w:r>
    </w:p>
    <w:p w14:paraId="3BFFE0F4">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12、非法的性用品广告和性病治疗广告；</w:t>
      </w:r>
    </w:p>
    <w:p w14:paraId="2485BC8D">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13、未经他人允许或利用“人肉搜索”恶意传播他人隐私信息。</w:t>
      </w:r>
    </w:p>
    <w:p w14:paraId="22260277">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（二）不开展为淫秽色情网站代收费业务，否则，贵公司有权立即停止业务并停止一切结算。</w:t>
      </w:r>
    </w:p>
    <w:p w14:paraId="35C78BA7">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（三）未经用户同意，不得向用户发送商业类电子信息或广告。</w:t>
      </w:r>
    </w:p>
    <w:p w14:paraId="5FCDCDB7">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十四、本单位使用互联网接入类业务的（包括但不限于电路使用、互联网数据中心、互联网专线、云主机等），承诺遵守以下规定：</w:t>
      </w:r>
    </w:p>
    <w:p w14:paraId="1E912967">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一）具备从事互联网服务的全部合法必要的资质条件，已履行相关规定要求的手续或已取得有关资质证明文件。在签署合同前，本单位向贵公司提供主体资格文件、资质证明文件的原件供贵公司审核，复印件（加盖公章）供贵公司留存，并保证所提供资料的真实、完整、准确、有效。在合同有效期/服务期内，如本单位提交的主体资格、资质证明文件所记载内容出现变更，本单位在完成变更后尽快向贵公司提供最新的文件。前述主体资格文件、资质证明文件包括但不限于营业执照、增值电信业务经营许可证、广告经营许可证、非经营性互联网信息服务备案证明以及贵公司要求提交的其他文件。其中：</w:t>
      </w:r>
    </w:p>
    <w:p w14:paraId="32E6B47C">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本单位如从事电子公告、新闻、出版、教育、医疗保健、药品和医疗器械、文化、广播电影电视节目等特殊互联网信息服务，应当根据相关规定经政府主管部门审核同意，履行批准或备案手续，并取得通信主管部门批准或备案文件。</w:t>
      </w:r>
    </w:p>
    <w:p w14:paraId="47C4F86B">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本单位如从事非经营性互联网信息服务，应当首先履行互联网备案手续，并按期履行年度审核手续。本单位委托贵公司提供代备案服务的，应当向贵公司提供代备案所需信息并对该等信息进行动态维护和更新，定期向贵公司及通信主管部门报送网站管理所需信息。本单位承诺所提交的所有备案信息真实、完整、准确、有效，当备案信息发生变化时及时在备案系统中更新，如因未及时更新而导致备案信息不准确，贵公司有权依法采取暂停或终止提供服务、断开网络接入等关闭处理措施。</w:t>
      </w:r>
    </w:p>
    <w:p w14:paraId="669C77B9">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3、本单位如从事经营性互联网服务，应当取得相应的增值电信业务经营许可证。</w:t>
      </w:r>
    </w:p>
    <w:p w14:paraId="3ACB89EB">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本单位如从事经营性互联网服务，应当在其网站主页的显著位置标明其经营许可证编号；本单位如从事非经营性互联网服务，本单位网站开通时在主页底部的中央位置标明其备案编号，并在备案编号下方链接工业和信息化部备案管理系统网址，供社会公众查询核对；本单位按照工业和信息化部备案管理系统的要求，将备案电子验证标识放置在其网站的指定目录下。</w:t>
      </w:r>
    </w:p>
    <w:p w14:paraId="5E1950BE">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（二）如经贵公司许可进入中国电信机房时，应当严格遵守机房的各项管理规定。</w:t>
      </w:r>
    </w:p>
    <w:p w14:paraId="2A66096E">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（三）根据当地公安局网监分局的要求，在入网后5个工作日内在网上提交备案信息，提交信息后10个工作日内办理备案。</w:t>
      </w:r>
    </w:p>
    <w:p w14:paraId="39BBB1AE">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十五、本单位承诺在业务使用过程中发生重大安全事故或发生或者可能发生个人信息和数据泄露、篡改、丢失时，立即采取应急措施，保留有关原始记录，在24小时内向有关部门报告并书面通知贵公司。如发生重大安全事故或其他影响网络安全、数据安全和个人信息保护的突发事件，贵公司有权采取包括但不限于停止业务等紧急措施，以保证网络安全、数据安全和个人信息保护。</w:t>
      </w:r>
    </w:p>
    <w:p w14:paraId="7E7A1DE2">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十六、本单位如出现任何违反上述承诺的情况，将依据合同承担违约责任，接受有关政府主管部门的处理（包括但不限于限期整改、公开曝光），并直接承担相应法律责任，造成财产损失的，由本单位直接赔偿。同时，贵单位有权在不通知本单位的情况下暂停、停止业务直至解除合同并不承担任何责任，一切责任后果全部由本单位自行承担。给贵公司造成损失或不良影响的，本单位将负责消除不良影响并赔偿贵公司相应损失。</w:t>
      </w:r>
    </w:p>
    <w:p w14:paraId="0F2F838E">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十七、如出现任何违反上述承诺的情况引发的投诉、举报，由本单位负责解决并承担责任。当通信主管部门、“12321网络不良与垃圾信息举报受理中心”、中国电信10000热线等各类渠道投诉、举报达到或超过[/]件/月时，贵公司有权在不通知本单位的情况下立即停止业务。</w:t>
      </w:r>
    </w:p>
    <w:p w14:paraId="7AA12F61">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十八、本单位承诺与最终用户参照签订此类《网络及信息安全承诺书》，并督促最终用户履行相应责任。否则，本单位承担连带责任。</w:t>
      </w:r>
    </w:p>
    <w:p w14:paraId="0D28CC3E">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十九、本承诺书经本单位签署后，与合同同时生效。</w:t>
      </w:r>
    </w:p>
    <w:p w14:paraId="063FB142">
      <w:pPr>
        <w:wordWrap w:val="0"/>
        <w:spacing w:line="360" w:lineRule="auto"/>
        <w:ind w:firstLine="480" w:firstLineChars="200"/>
        <w:jc w:val="left"/>
        <w:rPr>
          <w:rFonts w:hint="eastAsia" w:ascii="宋体" w:hAnsi="宋体" w:eastAsia="宋体" w:cs="宋体"/>
          <w:sz w:val="24"/>
          <w:szCs w:val="24"/>
        </w:rPr>
      </w:pPr>
    </w:p>
    <w:p w14:paraId="67F130D7">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承诺单位（盖章）：法定代表人/负责人或授权代表：</w:t>
      </w:r>
    </w:p>
    <w:p w14:paraId="08F040F1">
      <w:pPr>
        <w:wordWrap w:val="0"/>
        <w:spacing w:line="280" w:lineRule="auto"/>
        <w:rPr>
          <w:rFonts w:hint="eastAsia" w:ascii="宋体" w:hAnsi="宋体" w:cs="宋体"/>
          <w:sz w:val="24"/>
          <w:szCs w:val="24"/>
        </w:rPr>
        <w:sectPr>
          <w:pgSz w:w="11910" w:h="16840"/>
          <w:pgMar w:top="1420" w:right="1020" w:bottom="1200" w:left="1600" w:header="479" w:footer="1007" w:gutter="0"/>
          <w:cols w:space="720" w:num="1"/>
        </w:sectPr>
      </w:pPr>
    </w:p>
    <w:p w14:paraId="42240116">
      <w:pPr>
        <w:wordWrap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附件四：</w:t>
      </w:r>
    </w:p>
    <w:p w14:paraId="6979CF21">
      <w:pPr>
        <w:wordWrap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租用资源用途承诺书</w:t>
      </w:r>
    </w:p>
    <w:p w14:paraId="52D4497F">
      <w:pPr>
        <w:wordWrap w:val="0"/>
        <w:spacing w:before="1" w:line="360" w:lineRule="auto"/>
        <w:rPr>
          <w:rFonts w:hint="eastAsia" w:ascii="宋体" w:hAnsi="宋体" w:eastAsia="宋体" w:cs="宋体"/>
          <w:sz w:val="24"/>
          <w:szCs w:val="24"/>
        </w:rPr>
      </w:pPr>
    </w:p>
    <w:p w14:paraId="36E10B9A">
      <w:pPr>
        <w:wordWrap w:val="0"/>
        <w:spacing w:before="66" w:line="360" w:lineRule="auto"/>
        <w:ind w:left="101"/>
        <w:rPr>
          <w:rFonts w:hint="eastAsia" w:ascii="宋体" w:hAnsi="宋体" w:eastAsia="宋体" w:cs="宋体"/>
          <w:sz w:val="24"/>
          <w:szCs w:val="24"/>
        </w:rPr>
      </w:pPr>
      <w:r>
        <w:rPr>
          <w:rFonts w:hint="eastAsia" w:ascii="宋体" w:hAnsi="宋体" w:eastAsia="宋体" w:cs="宋体"/>
          <w:sz w:val="24"/>
          <w:szCs w:val="24"/>
        </w:rPr>
        <w:t>中国电信[/]公司：</w:t>
      </w:r>
    </w:p>
    <w:p w14:paraId="21B1AA74">
      <w:pPr>
        <w:wordWrap w:val="0"/>
        <w:spacing w:before="53" w:line="360" w:lineRule="auto"/>
        <w:ind w:left="581"/>
        <w:rPr>
          <w:rFonts w:hint="eastAsia" w:ascii="宋体" w:hAnsi="宋体" w:eastAsia="宋体" w:cs="宋体"/>
          <w:sz w:val="24"/>
          <w:szCs w:val="24"/>
        </w:rPr>
      </w:pPr>
      <w:r>
        <w:rPr>
          <w:rFonts w:hint="eastAsia" w:ascii="宋体" w:hAnsi="宋体" w:eastAsia="宋体" w:cs="宋体"/>
          <w:sz w:val="24"/>
          <w:szCs w:val="24"/>
        </w:rPr>
        <w:t>我单位具备如下资质：</w:t>
      </w:r>
    </w:p>
    <w:p w14:paraId="61143413">
      <w:pPr>
        <w:wordWrap w:val="0"/>
        <w:spacing w:before="9" w:line="360" w:lineRule="auto"/>
        <w:rPr>
          <w:rFonts w:hint="eastAsia" w:ascii="宋体" w:hAnsi="宋体" w:eastAsia="宋体" w:cs="宋体"/>
          <w:sz w:val="24"/>
          <w:szCs w:val="24"/>
        </w:rPr>
      </w:pPr>
    </w:p>
    <w:tbl>
      <w:tblPr>
        <w:tblStyle w:val="4"/>
        <w:tblW w:w="0" w:type="auto"/>
        <w:tblInd w:w="539" w:type="dxa"/>
        <w:tblLayout w:type="fixed"/>
        <w:tblCellMar>
          <w:top w:w="0" w:type="dxa"/>
          <w:left w:w="0" w:type="dxa"/>
          <w:bottom w:w="0" w:type="dxa"/>
          <w:right w:w="0" w:type="dxa"/>
        </w:tblCellMar>
      </w:tblPr>
      <w:tblGrid>
        <w:gridCol w:w="1284"/>
        <w:gridCol w:w="2940"/>
        <w:gridCol w:w="1440"/>
        <w:gridCol w:w="530"/>
      </w:tblGrid>
      <w:tr w14:paraId="1BC6BFDE">
        <w:tblPrEx>
          <w:tblCellMar>
            <w:top w:w="0" w:type="dxa"/>
            <w:left w:w="0" w:type="dxa"/>
            <w:bottom w:w="0" w:type="dxa"/>
            <w:right w:w="0" w:type="dxa"/>
          </w:tblCellMar>
        </w:tblPrEx>
        <w:trPr>
          <w:trHeight w:val="308" w:hRule="atLeast"/>
        </w:trPr>
        <w:tc>
          <w:tcPr>
            <w:tcW w:w="1284" w:type="dxa"/>
            <w:noWrap w:val="0"/>
            <w:vAlign w:val="top"/>
          </w:tcPr>
          <w:p w14:paraId="46F364C0">
            <w:pPr>
              <w:wordWrap w:val="0"/>
              <w:spacing w:line="360" w:lineRule="auto"/>
              <w:jc w:val="right"/>
              <w:rPr>
                <w:rFonts w:ascii="宋体" w:hAnsi="宋体" w:eastAsia="宋体" w:cs="宋体"/>
                <w:sz w:val="24"/>
                <w:szCs w:val="24"/>
              </w:rPr>
            </w:pPr>
            <w:r>
              <w:rPr>
                <w:rFonts w:ascii="宋体" w:hAnsi="宋体" w:eastAsia="宋体" w:cs="宋体"/>
                <w:sz w:val="24"/>
                <w:szCs w:val="24"/>
              </w:rPr>
              <w:t xml:space="preserve">持有 </w:t>
            </w:r>
            <w:r>
              <w:rPr>
                <w:rFonts w:ascii="Wingdings 2" w:hAnsi="Wingdings 2" w:eastAsia="宋体" w:cs="Times New Roman"/>
                <w:sz w:val="24"/>
              </w:rPr>
              <w:t></w:t>
            </w:r>
            <w:r>
              <w:rPr>
                <w:rFonts w:ascii="宋体" w:hAnsi="宋体" w:eastAsia="宋体" w:cs="宋体"/>
                <w:sz w:val="24"/>
                <w:szCs w:val="24"/>
              </w:rPr>
              <w:t>IDC</w:t>
            </w:r>
          </w:p>
        </w:tc>
        <w:tc>
          <w:tcPr>
            <w:tcW w:w="2940" w:type="dxa"/>
            <w:noWrap w:val="0"/>
            <w:vAlign w:val="top"/>
          </w:tcPr>
          <w:p w14:paraId="321E16BC">
            <w:pPr>
              <w:wordWrap w:val="0"/>
              <w:spacing w:line="360" w:lineRule="auto"/>
              <w:rPr>
                <w:rFonts w:ascii="宋体" w:hAnsi="宋体" w:eastAsia="宋体" w:cs="宋体"/>
                <w:sz w:val="24"/>
                <w:szCs w:val="24"/>
              </w:rPr>
            </w:pPr>
            <w:r>
              <w:rPr>
                <w:rFonts w:ascii="宋体" w:hAnsi="宋体" w:eastAsia="宋体" w:cs="宋体"/>
                <w:sz w:val="24"/>
                <w:szCs w:val="24"/>
              </w:rPr>
              <w:t>经营许可证，许可证号为[/</w:t>
            </w:r>
          </w:p>
        </w:tc>
        <w:tc>
          <w:tcPr>
            <w:tcW w:w="1440" w:type="dxa"/>
            <w:noWrap w:val="0"/>
            <w:vAlign w:val="top"/>
          </w:tcPr>
          <w:p w14:paraId="53C63EAC">
            <w:pPr>
              <w:wordWrap w:val="0"/>
              <w:spacing w:line="360" w:lineRule="auto"/>
              <w:jc w:val="right"/>
              <w:rPr>
                <w:rFonts w:ascii="宋体" w:hAnsi="宋体" w:eastAsia="宋体" w:cs="宋体"/>
                <w:sz w:val="24"/>
                <w:szCs w:val="24"/>
              </w:rPr>
            </w:pPr>
            <w:r>
              <w:rPr>
                <w:rFonts w:ascii="宋体" w:hAnsi="宋体" w:eastAsia="宋体" w:cs="宋体"/>
                <w:sz w:val="24"/>
                <w:szCs w:val="24"/>
              </w:rPr>
              <w:t>]，有效期[/</w:t>
            </w:r>
          </w:p>
        </w:tc>
        <w:tc>
          <w:tcPr>
            <w:tcW w:w="530" w:type="dxa"/>
            <w:noWrap w:val="0"/>
            <w:vAlign w:val="top"/>
          </w:tcPr>
          <w:p w14:paraId="48BF0121">
            <w:pPr>
              <w:wordWrap w:val="0"/>
              <w:spacing w:line="360" w:lineRule="auto"/>
              <w:jc w:val="right"/>
              <w:rPr>
                <w:rFonts w:ascii="宋体" w:hAnsi="宋体" w:eastAsia="宋体" w:cs="宋体"/>
                <w:sz w:val="24"/>
                <w:szCs w:val="24"/>
              </w:rPr>
            </w:pPr>
            <w:r>
              <w:rPr>
                <w:rFonts w:ascii="宋体" w:hAnsi="宋体" w:eastAsia="宋体" w:cs="宋体"/>
                <w:sz w:val="24"/>
                <w:szCs w:val="24"/>
              </w:rPr>
              <w:t>]。</w:t>
            </w:r>
          </w:p>
        </w:tc>
      </w:tr>
      <w:tr w14:paraId="41907AEC">
        <w:tblPrEx>
          <w:tblCellMar>
            <w:top w:w="0" w:type="dxa"/>
            <w:left w:w="0" w:type="dxa"/>
            <w:bottom w:w="0" w:type="dxa"/>
            <w:right w:w="0" w:type="dxa"/>
          </w:tblCellMar>
        </w:tblPrEx>
        <w:trPr>
          <w:trHeight w:val="360" w:hRule="atLeast"/>
        </w:trPr>
        <w:tc>
          <w:tcPr>
            <w:tcW w:w="1284" w:type="dxa"/>
            <w:noWrap w:val="0"/>
            <w:vAlign w:val="top"/>
          </w:tcPr>
          <w:p w14:paraId="0304F77F">
            <w:pPr>
              <w:tabs>
                <w:tab w:val="left" w:pos="215"/>
              </w:tabs>
              <w:wordWrap w:val="0"/>
              <w:spacing w:line="360" w:lineRule="auto"/>
              <w:ind w:left="649"/>
              <w:rPr>
                <w:rFonts w:ascii="宋体" w:hAnsi="宋体" w:eastAsia="宋体" w:cs="宋体"/>
                <w:sz w:val="24"/>
                <w:szCs w:val="24"/>
              </w:rPr>
            </w:pPr>
            <w:r>
              <w:rPr>
                <w:rFonts w:ascii="Wingdings 2" w:hAnsi="Wingdings 2" w:eastAsia="宋体" w:cs="Times New Roman"/>
                <w:sz w:val="24"/>
              </w:rPr>
              <w:t></w:t>
            </w:r>
            <w:r>
              <w:rPr>
                <w:rFonts w:ascii="宋体" w:hAnsi="宋体" w:eastAsia="宋体" w:cs="宋体"/>
                <w:sz w:val="24"/>
                <w:szCs w:val="24"/>
              </w:rPr>
              <w:t>ISP</w:t>
            </w:r>
          </w:p>
        </w:tc>
        <w:tc>
          <w:tcPr>
            <w:tcW w:w="2940" w:type="dxa"/>
            <w:noWrap w:val="0"/>
            <w:vAlign w:val="top"/>
          </w:tcPr>
          <w:p w14:paraId="1CC873F2">
            <w:pPr>
              <w:wordWrap w:val="0"/>
              <w:spacing w:line="360" w:lineRule="auto"/>
              <w:rPr>
                <w:rFonts w:ascii="宋体" w:hAnsi="宋体" w:eastAsia="宋体" w:cs="宋体"/>
                <w:sz w:val="24"/>
                <w:szCs w:val="24"/>
              </w:rPr>
            </w:pPr>
            <w:r>
              <w:rPr>
                <w:rFonts w:ascii="宋体" w:hAnsi="宋体" w:eastAsia="宋体" w:cs="宋体"/>
                <w:sz w:val="24"/>
                <w:szCs w:val="24"/>
              </w:rPr>
              <w:t>经营许可证，许可证号为[/</w:t>
            </w:r>
          </w:p>
        </w:tc>
        <w:tc>
          <w:tcPr>
            <w:tcW w:w="1440" w:type="dxa"/>
            <w:noWrap w:val="0"/>
            <w:vAlign w:val="top"/>
          </w:tcPr>
          <w:p w14:paraId="1A54A56F">
            <w:pPr>
              <w:wordWrap w:val="0"/>
              <w:spacing w:line="360" w:lineRule="auto"/>
              <w:jc w:val="right"/>
              <w:rPr>
                <w:rFonts w:ascii="宋体" w:hAnsi="宋体" w:eastAsia="宋体" w:cs="宋体"/>
                <w:sz w:val="24"/>
                <w:szCs w:val="24"/>
              </w:rPr>
            </w:pPr>
            <w:r>
              <w:rPr>
                <w:rFonts w:ascii="宋体" w:hAnsi="宋体" w:eastAsia="宋体" w:cs="宋体"/>
                <w:sz w:val="24"/>
                <w:szCs w:val="24"/>
              </w:rPr>
              <w:t>]，有效期[/</w:t>
            </w:r>
          </w:p>
        </w:tc>
        <w:tc>
          <w:tcPr>
            <w:tcW w:w="530" w:type="dxa"/>
            <w:noWrap w:val="0"/>
            <w:vAlign w:val="top"/>
          </w:tcPr>
          <w:p w14:paraId="17DA9D4B">
            <w:pPr>
              <w:wordWrap w:val="0"/>
              <w:spacing w:line="360" w:lineRule="auto"/>
              <w:jc w:val="right"/>
              <w:rPr>
                <w:rFonts w:ascii="宋体" w:hAnsi="宋体" w:eastAsia="宋体" w:cs="宋体"/>
                <w:sz w:val="24"/>
                <w:szCs w:val="24"/>
              </w:rPr>
            </w:pPr>
            <w:r>
              <w:rPr>
                <w:rFonts w:ascii="宋体" w:hAnsi="宋体" w:eastAsia="宋体" w:cs="宋体"/>
                <w:sz w:val="24"/>
                <w:szCs w:val="24"/>
              </w:rPr>
              <w:t>]。</w:t>
            </w:r>
          </w:p>
        </w:tc>
      </w:tr>
      <w:tr w14:paraId="6751C2D3">
        <w:tblPrEx>
          <w:tblCellMar>
            <w:top w:w="0" w:type="dxa"/>
            <w:left w:w="0" w:type="dxa"/>
            <w:bottom w:w="0" w:type="dxa"/>
            <w:right w:w="0" w:type="dxa"/>
          </w:tblCellMar>
        </w:tblPrEx>
        <w:trPr>
          <w:trHeight w:val="308" w:hRule="atLeast"/>
        </w:trPr>
        <w:tc>
          <w:tcPr>
            <w:tcW w:w="1284" w:type="dxa"/>
            <w:noWrap w:val="0"/>
            <w:vAlign w:val="top"/>
          </w:tcPr>
          <w:p w14:paraId="603DE2E9">
            <w:pPr>
              <w:tabs>
                <w:tab w:val="left" w:pos="215"/>
              </w:tabs>
              <w:wordWrap w:val="0"/>
              <w:spacing w:line="360" w:lineRule="auto"/>
              <w:ind w:left="649"/>
              <w:rPr>
                <w:rFonts w:ascii="宋体" w:hAnsi="宋体" w:eastAsia="宋体" w:cs="宋体"/>
                <w:sz w:val="24"/>
                <w:szCs w:val="24"/>
              </w:rPr>
            </w:pPr>
            <w:r>
              <w:rPr>
                <w:rFonts w:ascii="Wingdings 2" w:hAnsi="Wingdings 2" w:eastAsia="宋体" w:cs="Times New Roman"/>
                <w:sz w:val="24"/>
              </w:rPr>
              <w:sym w:font="Wingdings 2" w:char="00A3"/>
            </w:r>
            <w:r>
              <w:rPr>
                <w:rFonts w:ascii="宋体" w:hAnsi="宋体" w:eastAsia="宋体" w:cs="宋体"/>
                <w:sz w:val="24"/>
                <w:szCs w:val="24"/>
              </w:rPr>
              <w:t>CDN</w:t>
            </w:r>
          </w:p>
        </w:tc>
        <w:tc>
          <w:tcPr>
            <w:tcW w:w="2940" w:type="dxa"/>
            <w:noWrap w:val="0"/>
            <w:vAlign w:val="top"/>
          </w:tcPr>
          <w:p w14:paraId="4CBB944B">
            <w:pPr>
              <w:wordWrap w:val="0"/>
              <w:spacing w:line="360" w:lineRule="auto"/>
              <w:rPr>
                <w:rFonts w:ascii="宋体" w:hAnsi="宋体" w:eastAsia="宋体" w:cs="宋体"/>
                <w:sz w:val="24"/>
                <w:szCs w:val="24"/>
              </w:rPr>
            </w:pPr>
            <w:r>
              <w:rPr>
                <w:rFonts w:ascii="宋体" w:hAnsi="宋体" w:eastAsia="宋体" w:cs="宋体"/>
                <w:sz w:val="24"/>
                <w:szCs w:val="24"/>
              </w:rPr>
              <w:t>经营许可证，许可证号为[/</w:t>
            </w:r>
          </w:p>
        </w:tc>
        <w:tc>
          <w:tcPr>
            <w:tcW w:w="1440" w:type="dxa"/>
            <w:noWrap w:val="0"/>
            <w:vAlign w:val="top"/>
          </w:tcPr>
          <w:p w14:paraId="327F6B76">
            <w:pPr>
              <w:wordWrap w:val="0"/>
              <w:spacing w:line="360" w:lineRule="auto"/>
              <w:jc w:val="right"/>
              <w:rPr>
                <w:rFonts w:ascii="宋体" w:hAnsi="宋体" w:eastAsia="宋体" w:cs="宋体"/>
                <w:sz w:val="24"/>
                <w:szCs w:val="24"/>
              </w:rPr>
            </w:pPr>
            <w:r>
              <w:rPr>
                <w:rFonts w:ascii="宋体" w:hAnsi="宋体" w:eastAsia="宋体" w:cs="宋体"/>
                <w:sz w:val="24"/>
                <w:szCs w:val="24"/>
              </w:rPr>
              <w:t>]，有效期[/</w:t>
            </w:r>
          </w:p>
        </w:tc>
        <w:tc>
          <w:tcPr>
            <w:tcW w:w="530" w:type="dxa"/>
            <w:noWrap w:val="0"/>
            <w:vAlign w:val="top"/>
          </w:tcPr>
          <w:p w14:paraId="56575109">
            <w:pPr>
              <w:wordWrap w:val="0"/>
              <w:spacing w:line="360" w:lineRule="auto"/>
              <w:jc w:val="right"/>
              <w:rPr>
                <w:rFonts w:ascii="宋体" w:hAnsi="宋体" w:eastAsia="宋体" w:cs="宋体"/>
                <w:sz w:val="24"/>
                <w:szCs w:val="24"/>
              </w:rPr>
            </w:pPr>
            <w:r>
              <w:rPr>
                <w:rFonts w:ascii="宋体" w:hAnsi="宋体" w:eastAsia="宋体" w:cs="宋体"/>
                <w:sz w:val="24"/>
                <w:szCs w:val="24"/>
              </w:rPr>
              <w:t>]。</w:t>
            </w:r>
          </w:p>
        </w:tc>
      </w:tr>
    </w:tbl>
    <w:p w14:paraId="4683069A">
      <w:pPr>
        <w:tabs>
          <w:tab w:val="left" w:pos="6555"/>
          <w:tab w:val="left" w:pos="7995"/>
        </w:tabs>
        <w:wordWrap w:val="0"/>
        <w:spacing w:line="360" w:lineRule="auto"/>
        <w:ind w:left="1191"/>
        <w:jc w:val="left"/>
        <w:rPr>
          <w:rFonts w:hint="eastAsia" w:ascii="宋体" w:hAnsi="宋体" w:eastAsia="宋体" w:cs="宋体"/>
          <w:sz w:val="24"/>
          <w:szCs w:val="24"/>
        </w:rPr>
      </w:pPr>
      <w:r>
        <w:rPr>
          <w:rFonts w:ascii="Wingdings 2" w:hAnsi="Wingdings 2" w:eastAsia="宋体" w:cs="Times New Roman"/>
          <w:sz w:val="24"/>
        </w:rPr>
        <w:t></w:t>
      </w:r>
      <w:r>
        <w:rPr>
          <w:rFonts w:hint="eastAsia" w:ascii="宋体" w:hAnsi="宋体" w:eastAsia="宋体" w:cs="宋体"/>
          <w:sz w:val="24"/>
          <w:szCs w:val="24"/>
        </w:rPr>
        <w:t>互联网资源协作服务经营许可证，许可证号为[/</w:t>
      </w:r>
      <w:r>
        <w:rPr>
          <w:rFonts w:hint="eastAsia" w:ascii="宋体" w:hAnsi="宋体" w:eastAsia="宋体" w:cs="宋体"/>
          <w:sz w:val="24"/>
          <w:szCs w:val="24"/>
        </w:rPr>
        <w:tab/>
      </w:r>
      <w:r>
        <w:rPr>
          <w:rFonts w:hint="eastAsia" w:ascii="宋体" w:hAnsi="宋体" w:eastAsia="宋体" w:cs="宋体"/>
          <w:sz w:val="24"/>
          <w:szCs w:val="24"/>
        </w:rPr>
        <w:t>]，有效期[</w:t>
      </w:r>
      <w:r>
        <w:rPr>
          <w:rFonts w:hint="eastAsia" w:ascii="宋体" w:hAnsi="宋体" w:eastAsia="宋体" w:cs="宋体"/>
          <w:sz w:val="24"/>
          <w:szCs w:val="24"/>
        </w:rPr>
        <w:tab/>
      </w:r>
      <w:r>
        <w:rPr>
          <w:rFonts w:hint="eastAsia" w:ascii="宋体" w:hAnsi="宋体" w:eastAsia="宋体" w:cs="宋体"/>
          <w:sz w:val="24"/>
          <w:szCs w:val="24"/>
        </w:rPr>
        <w:t>/]。</w:t>
      </w:r>
    </w:p>
    <w:p w14:paraId="6674BAC6">
      <w:pPr>
        <w:tabs>
          <w:tab w:val="left" w:pos="1397"/>
        </w:tabs>
        <w:wordWrap w:val="0"/>
        <w:spacing w:line="360" w:lineRule="auto"/>
        <w:ind w:left="1191"/>
        <w:jc w:val="left"/>
        <w:rPr>
          <w:rFonts w:hint="eastAsia" w:ascii="宋体" w:hAnsi="宋体" w:eastAsia="宋体" w:cs="宋体"/>
          <w:sz w:val="24"/>
          <w:szCs w:val="24"/>
        </w:rPr>
      </w:pPr>
      <w:r>
        <w:rPr>
          <w:rFonts w:ascii="Wingdings 2" w:hAnsi="Wingdings 2" w:eastAsia="宋体" w:cs="Times New Roman"/>
          <w:sz w:val="24"/>
        </w:rPr>
        <w:t></w:t>
      </w:r>
      <w:r>
        <w:rPr>
          <w:rFonts w:hint="eastAsia" w:ascii="宋体" w:hAnsi="宋体" w:eastAsia="宋体" w:cs="宋体"/>
          <w:sz w:val="24"/>
          <w:szCs w:val="24"/>
        </w:rPr>
        <w:t>尚未取得任何经营许可证。</w:t>
      </w:r>
    </w:p>
    <w:p w14:paraId="0EB27FBB">
      <w:pPr>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按照《工业和信息化部关于清理规范互联网网络接入服务市场的通知》（工信部信管函﹝2017﹞32号）文件要求，我单位承诺不将租用中贵公司的IP地址、带宽等网络接入资源转租给用于经营IDC和ISP等业务的其他企业。</w:t>
      </w:r>
    </w:p>
    <w:p w14:paraId="789BD844">
      <w:pPr>
        <w:wordWrap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如有违反以上承诺，我单位同意贵公司按照《工业和信息化部关于清理规范互联网网络接入服务市场的通知》（工信部信管函﹝2017﹞32号）文件要求关停相关业务。</w:t>
      </w:r>
    </w:p>
    <w:p w14:paraId="1FF1F5CE">
      <w:pPr>
        <w:wordWrap w:val="0"/>
        <w:spacing w:line="360" w:lineRule="auto"/>
        <w:rPr>
          <w:rFonts w:hint="eastAsia" w:ascii="宋体" w:hAnsi="宋体" w:eastAsia="宋体" w:cs="宋体"/>
          <w:sz w:val="24"/>
          <w:szCs w:val="24"/>
        </w:rPr>
      </w:pPr>
    </w:p>
    <w:p w14:paraId="32FB2B85">
      <w:pPr>
        <w:wordWrap w:val="0"/>
        <w:spacing w:line="360" w:lineRule="auto"/>
        <w:rPr>
          <w:rFonts w:hint="eastAsia" w:ascii="宋体" w:hAnsi="宋体" w:eastAsia="宋体" w:cs="宋体"/>
          <w:sz w:val="24"/>
          <w:szCs w:val="24"/>
        </w:rPr>
      </w:pPr>
    </w:p>
    <w:p w14:paraId="3BB2F393">
      <w:pPr>
        <w:wordWrap w:val="0"/>
        <w:spacing w:line="360" w:lineRule="auto"/>
        <w:rPr>
          <w:rFonts w:hint="eastAsia" w:ascii="宋体" w:hAnsi="宋体" w:eastAsia="宋体" w:cs="宋体"/>
          <w:sz w:val="24"/>
          <w:szCs w:val="24"/>
        </w:rPr>
      </w:pPr>
    </w:p>
    <w:p w14:paraId="58D511FB">
      <w:pPr>
        <w:wordWrap w:val="0"/>
        <w:adjustRightInd w:val="0"/>
        <w:spacing w:before="158" w:line="360" w:lineRule="auto"/>
        <w:ind w:right="1388" w:rightChars="661"/>
        <w:jc w:val="right"/>
        <w:rPr>
          <w:rFonts w:hint="eastAsia" w:ascii="宋体" w:hAnsi="宋体" w:eastAsia="宋体" w:cs="宋体"/>
          <w:sz w:val="24"/>
          <w:szCs w:val="24"/>
        </w:rPr>
      </w:pPr>
      <w:r>
        <w:rPr>
          <w:rFonts w:hint="eastAsia" w:ascii="宋体" w:hAnsi="宋体" w:eastAsia="宋体" w:cs="宋体"/>
          <w:sz w:val="24"/>
          <w:szCs w:val="24"/>
        </w:rPr>
        <w:t>责任单位（盖章）：/</w:t>
      </w:r>
    </w:p>
    <w:p w14:paraId="2D29CABC">
      <w:pPr>
        <w:wordWrap w:val="0"/>
        <w:adjustRightInd w:val="0"/>
        <w:spacing w:before="53" w:line="360" w:lineRule="auto"/>
        <w:ind w:right="1388" w:rightChars="661"/>
        <w:jc w:val="right"/>
        <w:rPr>
          <w:rFonts w:hint="eastAsia" w:ascii="宋体" w:hAnsi="宋体" w:eastAsia="宋体" w:cs="宋体"/>
          <w:sz w:val="24"/>
          <w:szCs w:val="24"/>
        </w:rPr>
      </w:pPr>
      <w:r>
        <w:rPr>
          <w:rFonts w:hint="eastAsia" w:ascii="宋体" w:hAnsi="宋体" w:eastAsia="宋体" w:cs="宋体"/>
          <w:sz w:val="24"/>
          <w:szCs w:val="24"/>
        </w:rPr>
        <w:t>法定代表人或授权代表签字：/</w:t>
      </w:r>
    </w:p>
    <w:p w14:paraId="045777CD">
      <w:pPr>
        <w:wordWrap w:val="0"/>
        <w:adjustRightInd w:val="0"/>
        <w:spacing w:before="53" w:line="360" w:lineRule="auto"/>
        <w:ind w:right="1388" w:rightChars="661"/>
        <w:jc w:val="right"/>
        <w:rPr>
          <w:rFonts w:hint="eastAsia" w:ascii="宋体" w:hAnsi="宋体" w:eastAsia="宋体" w:cs="宋体"/>
          <w:sz w:val="24"/>
          <w:szCs w:val="24"/>
        </w:rPr>
      </w:pPr>
      <w:r>
        <w:rPr>
          <w:rFonts w:hint="eastAsia" w:ascii="宋体" w:hAnsi="宋体" w:eastAsia="宋体" w:cs="宋体"/>
          <w:sz w:val="24"/>
          <w:szCs w:val="24"/>
        </w:rPr>
        <w:t>日期：/</w:t>
      </w:r>
    </w:p>
    <w:bookmarkEnd w:id="3"/>
    <w:bookmarkEnd w:id="4"/>
    <w:bookmarkEnd w:id="5"/>
    <w:p w14:paraId="107F76E7">
      <w:bookmarkStart w:id="6" w:name="_GoBack"/>
      <w:bookmarkEnd w:id="6"/>
    </w:p>
    <w:sectPr>
      <w:pgSz w:w="11906" w:h="16838"/>
      <w:pgMar w:top="1440" w:right="1287" w:bottom="1440" w:left="1622" w:header="851" w:footer="992" w:gutter="0"/>
      <w:pgNumType w:fmt="decimal" w:start="1"/>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23F55">
    <w:pPr>
      <w:spacing w:line="14" w:lineRule="auto"/>
      <w:rPr>
        <w:rFonts w:ascii="Calibri" w:hAnsi="Calibri" w:eastAsia="宋体" w:cs="Times New Roman"/>
        <w:sz w:val="20"/>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8555E">
    <w:pPr>
      <w:spacing w:line="14" w:lineRule="auto"/>
      <w:rPr>
        <w:rFonts w:ascii="Calibri" w:hAnsi="Calibri" w:eastAsia="宋体" w:cs="Times New Roman"/>
        <w:sz w:val="20"/>
        <w:szCs w:val="24"/>
      </w:rPr>
    </w:pPr>
    <w:r>
      <w:rPr>
        <w:rFonts w:ascii="Calibri" w:hAnsi="Calibri" w:eastAsia="宋体" w:cs="Times New Roman"/>
        <w:sz w:val="24"/>
        <w:szCs w:val="24"/>
      </w:rPr>
      <mc:AlternateContent>
        <mc:Choice Requires="wps">
          <w:drawing>
            <wp:anchor distT="0" distB="0" distL="114300" distR="114300" simplePos="0" relativeHeight="251659264" behindDoc="1" locked="0" layoutInCell="1" allowOverlap="1">
              <wp:simplePos x="0" y="0"/>
              <wp:positionH relativeFrom="page">
                <wp:posOffset>4932680</wp:posOffset>
              </wp:positionH>
              <wp:positionV relativeFrom="page">
                <wp:posOffset>6781800</wp:posOffset>
              </wp:positionV>
              <wp:extent cx="827405" cy="1524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827405" cy="152400"/>
                      </a:xfrm>
                      <a:prstGeom prst="rect">
                        <a:avLst/>
                      </a:prstGeom>
                      <a:noFill/>
                      <a:ln>
                        <a:noFill/>
                      </a:ln>
                      <a:effectLst/>
                    </wps:spPr>
                    <wps:txbx>
                      <w:txbxContent>
                        <w:p w14:paraId="119261A1">
                          <w:pPr>
                            <w:rPr>
                              <w:rFonts w:ascii="宋体" w:hAnsi="Calibri" w:eastAsia="宋体" w:cs="Times New Roman"/>
                              <w:sz w:val="18"/>
                              <w:szCs w:val="24"/>
                            </w:rPr>
                          </w:pP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388.4pt;margin-top:534pt;height:12pt;width:65.15pt;mso-position-horizontal-relative:page;mso-position-vertical-relative:page;z-index:-251657216;mso-width-relative:page;mso-height-relative:page;" filled="f" stroked="f" coordsize="21600,21600" o:gfxdata="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GZpyHXZAAAADQEAAA8AAAAAAAAA&#10;AQAgAAAAIgAAAGRycy9kb3ducmV2LnhtbFBLAQIUABQAAAAIAIdO4kA+RKnqEAIAABIEAAAOAAAA&#10;AAAAAAEAIAAAACgBAABkcnMvZTJvRG9jLnhtbFBLBQYAAAAABgAGAFkBAACqBQAAAAA=&#10;">
              <v:path/>
              <v:fill on="f" focussize="0,0"/>
              <v:stroke on="f"/>
              <v:imagedata o:title=""/>
              <o:lock v:ext="edit" aspectratio="f"/>
              <v:textbox inset="0mm,0mm,0mm,0mm">
                <w:txbxContent>
                  <w:p w14:paraId="119261A1">
                    <w:pPr>
                      <w:rPr>
                        <w:rFonts w:ascii="宋体" w:hAnsi="Calibri" w:eastAsia="宋体" w:cs="Times New Roman"/>
                        <w:sz w:val="18"/>
                        <w:szCs w:val="24"/>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4FCC6">
    <w:pPr>
      <w:spacing w:line="14" w:lineRule="auto"/>
      <w:rPr>
        <w:rFonts w:ascii="Calibri" w:hAnsi="Calibri" w:eastAsia="宋体" w:cs="Times New Roman"/>
        <w:sz w:val="20"/>
        <w:szCs w:val="2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CB523">
    <w:pPr>
      <w:spacing w:line="14" w:lineRule="auto"/>
      <w:rPr>
        <w:rFonts w:ascii="Calibri" w:hAnsi="Calibri" w:eastAsia="宋体" w:cs="Times New Roman"/>
        <w:sz w:val="2"/>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053C90">
    <w:pPr>
      <w:pBdr>
        <w:top w:val="none" w:color="auto" w:sz="0" w:space="1"/>
        <w:left w:val="none" w:color="auto" w:sz="0" w:space="4"/>
        <w:bottom w:val="none" w:color="auto" w:sz="0" w:space="1"/>
        <w:right w:val="none" w:color="auto" w:sz="0" w:space="4"/>
      </w:pBdr>
      <w:tabs>
        <w:tab w:val="center" w:pos="4153"/>
        <w:tab w:val="right" w:pos="8306"/>
      </w:tabs>
      <w:snapToGrid w:val="0"/>
      <w:rPr>
        <w:rFonts w:ascii="Calibri" w:hAnsi="Calibri" w:eastAsia="宋体" w:cs="Times New Roman"/>
        <w:sz w:val="18"/>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BC45D2"/>
    <w:rsid w:val="4BBC45D2"/>
    <w:rsid w:val="669E4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微软雅黑" w:hAnsi="Times New Roman" w:eastAsia="微软雅黑" w:cs="微软雅黑"/>
      <w:color w:val="000000"/>
      <w:sz w:val="24"/>
      <w:szCs w:val="24"/>
      <w:lang w:val="en-US" w:eastAsia="zh-CN" w:bidi="ar-SA"/>
    </w:rPr>
  </w:style>
  <w:style w:type="paragraph" w:styleId="3">
    <w:name w:val="Body Text"/>
    <w:qFormat/>
    <w:uiPriority w:val="0"/>
    <w:pPr>
      <w:widowControl w:val="0"/>
      <w:adjustRightInd w:val="0"/>
      <w:spacing w:after="60" w:afterLines="0" w:line="360" w:lineRule="atLeast"/>
      <w:ind w:left="72" w:leftChars="30" w:right="30" w:rightChars="30"/>
      <w:jc w:val="center"/>
      <w:textAlignment w:val="baseline"/>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0</Words>
  <Characters>0</Characters>
  <Lines>0</Lines>
  <Paragraphs>0</Paragraphs>
  <TotalTime>0</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2025-03-14T08:57:00Z</dcterms:created>
  <dc:creator>麦田守望者79</dc:creator>
  <cp:lastModifiedBy>麦田守望者79</cp:lastModifiedBy>
  <dcterms:modified xsi:type="dcterms:W3CDTF">2025-03-14T08:59:32Z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3321A36C4DC54E90A76C390995953035_11</vt:lpwstr>
  </property>
  <property fmtid="{D5CDD505-2E9C-101B-9397-08002B2CF9AE}" pid="4" name="KSOTemplateDocerSaveRecord">
    <vt:lpwstr>eyJoZGlkIjoiYjBmYWM5YzMzYTc0YmZmMTA0MTFiODhkNDg3ZGUzMzIiLCJ1c2VySWQiOiIxMTQzMzAwNTc5In0=</vt:lpwstr>
  </property>
</Properties>
</file>