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版本号：SXLX-2025-00720250319001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重大林业有害生物检疫防控项目——美国白蛾性诱捕器采购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SXLX-2025-007</w:t>
      </w:r>
      <w:r>
        <w:br/>
      </w:r>
      <w:r>
        <w:br/>
      </w:r>
      <w:r>
        <w:br/>
      </w:r>
    </w:p>
    <w:p>
      <w:pPr>
        <w:pStyle w:val="null3"/>
        <w:jc w:val="center"/>
        <w:outlineLvl w:val="2"/>
      </w:pPr>
      <w:r>
        <w:rPr>
          <w:rFonts w:ascii="仿宋_GB2312" w:hAnsi="仿宋_GB2312" w:cs="仿宋_GB2312" w:eastAsia="仿宋_GB2312"/>
          <w:sz w:val="28"/>
          <w:b/>
        </w:rPr>
        <w:t>西安市林木病虫害防治检疫站</w:t>
      </w:r>
    </w:p>
    <w:p>
      <w:pPr>
        <w:pStyle w:val="null3"/>
        <w:jc w:val="center"/>
        <w:outlineLvl w:val="2"/>
      </w:pPr>
      <w:r>
        <w:rPr>
          <w:rFonts w:ascii="仿宋_GB2312" w:hAnsi="仿宋_GB2312" w:cs="仿宋_GB2312" w:eastAsia="仿宋_GB2312"/>
          <w:sz w:val="28"/>
          <w:b/>
        </w:rPr>
        <w:t>陕西立信工程项目管理有限公司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陕西立信工程项目管理有限公司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西安市林木病虫害防治检疫站</w:t>
      </w:r>
      <w:r>
        <w:rPr>
          <w:rFonts w:ascii="仿宋_GB2312" w:hAnsi="仿宋_GB2312" w:cs="仿宋_GB2312" w:eastAsia="仿宋_GB2312"/>
        </w:rPr>
        <w:t>委托，拟对</w:t>
      </w:r>
      <w:r>
        <w:rPr>
          <w:rFonts w:ascii="仿宋_GB2312" w:hAnsi="仿宋_GB2312" w:cs="仿宋_GB2312" w:eastAsia="仿宋_GB2312"/>
        </w:rPr>
        <w:t>重大林业有害生物检疫防控项目——美国白蛾性诱捕器采购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SXLX-2025-007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重大林业有害生物检疫防控项目——美国白蛾性诱捕器采购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西安市林木病虫害防治检疫站美国白蛾性诱捕器购置项目旨在美国白蛾发生期通过悬挂性诱捕器，全面提升监测防控能力,切实巩固防控成效，现需要采购美国白蛾性诱捕器1200套。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采购包1（重大林业有害生物检疫防控项目—美国白蛾性诱捕器采购）：属于专门面向中小企业采购。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 ：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p>
      <w:pPr>
        <w:pStyle w:val="null3"/>
      </w:pPr>
      <w:r>
        <w:rPr>
          <w:rFonts w:ascii="仿宋_GB2312" w:hAnsi="仿宋_GB2312" w:cs="仿宋_GB2312" w:eastAsia="仿宋_GB2312"/>
        </w:rPr>
        <w:t>2、法定代表人授权书/法定代表人身份证明 ：法定代表人参加磋商的，须出具法定代表人身份证明书及身份证。法定代表人授权委托人参加磋商的，须出具法定代表人授权委托书及授权委托人身份证；供应商需在项目电子化交易系统中提供“法定代表人身份证明书/法定代表人授权委托书”并进行电子签章</w:t>
      </w:r>
    </w:p>
    <w:p>
      <w:pPr>
        <w:pStyle w:val="null3"/>
      </w:pPr>
      <w:r>
        <w:rPr>
          <w:rFonts w:ascii="仿宋_GB2312" w:hAnsi="仿宋_GB2312" w:cs="仿宋_GB2312" w:eastAsia="仿宋_GB2312"/>
        </w:rPr>
        <w:t>3、财务状况报告 ：提供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p>
      <w:pPr>
        <w:pStyle w:val="null3"/>
      </w:pPr>
      <w:r>
        <w:rPr>
          <w:rFonts w:ascii="仿宋_GB2312" w:hAnsi="仿宋_GB2312" w:cs="仿宋_GB2312" w:eastAsia="仿宋_GB2312"/>
        </w:rPr>
        <w:t>4、税收缴纳证明： 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p>
      <w:pPr>
        <w:pStyle w:val="null3"/>
      </w:pPr>
      <w:r>
        <w:rPr>
          <w:rFonts w:ascii="仿宋_GB2312" w:hAnsi="仿宋_GB2312" w:cs="仿宋_GB2312" w:eastAsia="仿宋_GB2312"/>
        </w:rPr>
        <w:t>5、社会保障资金缴纳证明：提供递交响应文件截止之日前一年内不少于三个月的社会保障资金缴纳证明，依法不需要缴纳社会保障资金的供应商应提供相关文件证明；供应商需在项目电子化交易系统中提供相关证明文件并进行电子签章</w:t>
      </w:r>
    </w:p>
    <w:p>
      <w:pPr>
        <w:pStyle w:val="null3"/>
      </w:pPr>
      <w:r>
        <w:rPr>
          <w:rFonts w:ascii="仿宋_GB2312" w:hAnsi="仿宋_GB2312" w:cs="仿宋_GB2312" w:eastAsia="仿宋_GB2312"/>
        </w:rPr>
        <w:t>6、前三年无重大违法记录声明 ：参加政府采购活动前3年内在经营活动中没有重大违法记录的书面声明；供应商需在项目电子化交易系统中提供书面声明并进行电子签章</w:t>
      </w:r>
    </w:p>
    <w:p>
      <w:pPr>
        <w:pStyle w:val="null3"/>
      </w:pPr>
      <w:r>
        <w:rPr>
          <w:rFonts w:ascii="仿宋_GB2312" w:hAnsi="仿宋_GB2312" w:cs="仿宋_GB2312" w:eastAsia="仿宋_GB2312"/>
        </w:rPr>
        <w:t>7、履行合同所必需的设备和专业技术能力 ：具备履行合同所必需的设备和专业技术能力的证明材料；供应商需在项目电子化交易系统中提供承诺并进行电子签章</w:t>
      </w:r>
    </w:p>
    <w:p>
      <w:pPr>
        <w:pStyle w:val="null3"/>
      </w:pPr>
      <w:r>
        <w:rPr>
          <w:rFonts w:ascii="仿宋_GB2312" w:hAnsi="仿宋_GB2312" w:cs="仿宋_GB2312" w:eastAsia="仿宋_GB2312"/>
        </w:rPr>
        <w:t>8、信用查询： 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p>
      <w:pPr>
        <w:pStyle w:val="null3"/>
      </w:pPr>
      <w:r>
        <w:rPr>
          <w:rFonts w:ascii="仿宋_GB2312" w:hAnsi="仿宋_GB2312" w:cs="仿宋_GB2312" w:eastAsia="仿宋_GB2312"/>
        </w:rPr>
        <w:t>9、企业关联关系 ：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p>
      <w:pPr>
        <w:pStyle w:val="null3"/>
      </w:pPr>
      <w:r>
        <w:rPr>
          <w:rFonts w:ascii="仿宋_GB2312" w:hAnsi="仿宋_GB2312" w:cs="仿宋_GB2312" w:eastAsia="仿宋_GB2312"/>
        </w:rPr>
        <w:t>10、本项目不接受联合体磋商 ：供应商需在项目电子化交易系统中提供相应的证明文件并进行电子签章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西安市林木病虫害防治检疫站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西安市长安南路农林巷7号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孟老师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029-85252340-8022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陕西立信工程项目管理有限公司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西安市雁塔区太白南路39号金石柏朗大厦12层1201室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029-87519950-809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和国家发改委办公厅颁发的《关于招标代理服务收费有关问题的通知》（发改办价格〔2003〕857号）文件规定收取。 成交单位在领取成交通知书时向代理机构支付代理服务费。 缴纳账户如下： 户名：陕西立信工程项目管理有限公司 账号：129903881810301 开户行：招商银行西安朝阳门支行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西安市林木病虫害防治检疫站</w:t>
      </w:r>
      <w:r>
        <w:rPr>
          <w:rFonts w:ascii="仿宋_GB2312" w:hAnsi="仿宋_GB2312" w:cs="仿宋_GB2312" w:eastAsia="仿宋_GB2312"/>
        </w:rPr>
        <w:t>和</w:t>
      </w:r>
      <w:r>
        <w:rPr>
          <w:rFonts w:ascii="仿宋_GB2312" w:hAnsi="仿宋_GB2312" w:cs="仿宋_GB2312" w:eastAsia="仿宋_GB2312"/>
        </w:rPr>
        <w:t>陕西立信工程项目管理有限公司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西安市林木病虫害防治检疫站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陕西立信工程项目管理有限公司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陕西立信工程项目管理有限公司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合格，符合本项目采购需求。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陕西立信工程项目管理有限公司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联系人：李娇</w:t>
      </w:r>
    </w:p>
    <w:p>
      <w:pPr>
        <w:pStyle w:val="null3"/>
      </w:pPr>
      <w:r>
        <w:rPr>
          <w:rFonts w:ascii="仿宋_GB2312" w:hAnsi="仿宋_GB2312" w:cs="仿宋_GB2312" w:eastAsia="仿宋_GB2312"/>
        </w:rPr>
        <w:t>联系电话：029-87519950-809</w:t>
      </w:r>
    </w:p>
    <w:p>
      <w:pPr>
        <w:pStyle w:val="null3"/>
      </w:pPr>
      <w:r>
        <w:rPr>
          <w:rFonts w:ascii="仿宋_GB2312" w:hAnsi="仿宋_GB2312" w:cs="仿宋_GB2312" w:eastAsia="仿宋_GB2312"/>
        </w:rPr>
        <w:t>地址：西安市雁塔区太白南路39号金石柏朗大厦12层1201室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西安市林木病虫害防治检疫站美国白蛾性诱捕器购置项目旨在美国白蛾发生期通过悬挂性诱捕器，全面提升监测防控能力,切实巩固防控成效，现需要采购美国白蛾性诱捕器1200套。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美国白蛾性诱捕器1200套</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标的名称：美国白蛾性诱捕器1200套</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技术参数与性能指标</w:t>
            </w:r>
          </w:p>
        </w:tc>
        <w:tc>
          <w:tcPr>
            <w:tcW w:type="dxa" w:w="2076"/>
          </w:tcPr>
          <w:p>
            <w:pPr>
              <w:pStyle w:val="null3"/>
              <w:jc w:val="left"/>
            </w:pPr>
            <w:r>
              <w:rPr>
                <w:rFonts w:ascii="仿宋_GB2312" w:hAnsi="仿宋_GB2312" w:cs="仿宋_GB2312" w:eastAsia="仿宋_GB2312"/>
                <w:sz w:val="18"/>
                <w:b/>
              </w:rPr>
              <w:t>一</w:t>
            </w:r>
            <w:r>
              <w:rPr>
                <w:rFonts w:ascii="仿宋_GB2312" w:hAnsi="仿宋_GB2312" w:cs="仿宋_GB2312" w:eastAsia="仿宋_GB2312"/>
                <w:sz w:val="18"/>
                <w:b/>
              </w:rPr>
              <w:t>、采购内容</w:t>
            </w:r>
          </w:p>
          <w:p>
            <w:pPr>
              <w:pStyle w:val="null3"/>
              <w:jc w:val="both"/>
            </w:pPr>
            <w:r>
              <w:rPr>
                <w:rFonts w:ascii="仿宋_GB2312" w:hAnsi="仿宋_GB2312" w:cs="仿宋_GB2312" w:eastAsia="仿宋_GB2312"/>
                <w:sz w:val="18"/>
              </w:rPr>
              <w:t xml:space="preserve">   美国白蛾性诱捕器</w:t>
            </w:r>
            <w:r>
              <w:rPr>
                <w:rFonts w:ascii="仿宋_GB2312" w:hAnsi="仿宋_GB2312" w:cs="仿宋_GB2312" w:eastAsia="仿宋_GB2312"/>
                <w:sz w:val="18"/>
              </w:rPr>
              <w:t>1200套。包含美国白蛾性诱捕器、美国白蛾诱芯。</w:t>
            </w:r>
          </w:p>
          <w:p>
            <w:pPr>
              <w:pStyle w:val="null3"/>
            </w:pPr>
            <w:r>
              <w:rPr>
                <w:rFonts w:ascii="仿宋_GB2312" w:hAnsi="仿宋_GB2312" w:cs="仿宋_GB2312" w:eastAsia="仿宋_GB2312"/>
                <w:sz w:val="18"/>
                <w:b/>
              </w:rPr>
              <w:t>二、主要技术指标及要求</w:t>
            </w:r>
          </w:p>
          <w:p>
            <w:pPr>
              <w:pStyle w:val="null3"/>
              <w:ind w:firstLine="402"/>
            </w:pPr>
            <w:r>
              <w:rPr>
                <w:rFonts w:ascii="仿宋_GB2312" w:hAnsi="仿宋_GB2312" w:cs="仿宋_GB2312" w:eastAsia="仿宋_GB2312"/>
                <w:sz w:val="18"/>
                <w:b/>
              </w:rPr>
              <w:t>1</w:t>
            </w:r>
            <w:r>
              <w:rPr>
                <w:rFonts w:ascii="仿宋_GB2312" w:hAnsi="仿宋_GB2312" w:cs="仿宋_GB2312" w:eastAsia="仿宋_GB2312"/>
                <w:sz w:val="18"/>
                <w:b/>
              </w:rPr>
              <w:t>、桶形诱捕器组成：</w:t>
            </w:r>
          </w:p>
          <w:p>
            <w:pPr>
              <w:pStyle w:val="null3"/>
              <w:ind w:firstLine="400"/>
            </w:pPr>
            <w:r>
              <w:rPr>
                <w:rFonts w:ascii="仿宋_GB2312" w:hAnsi="仿宋_GB2312" w:cs="仿宋_GB2312" w:eastAsia="仿宋_GB2312"/>
                <w:sz w:val="18"/>
              </w:rPr>
              <w:t>遮雨盖1个、火锅式连接件1个、集虫桶1个、诱芯安装片1个。</w:t>
            </w:r>
          </w:p>
          <w:p>
            <w:pPr>
              <w:pStyle w:val="null3"/>
              <w:ind w:firstLine="400"/>
            </w:pPr>
            <w:r>
              <w:rPr>
                <w:rFonts w:ascii="仿宋_GB2312" w:hAnsi="仿宋_GB2312" w:cs="仿宋_GB2312" w:eastAsia="仿宋_GB2312"/>
                <w:sz w:val="18"/>
              </w:rPr>
              <w:t>遮雨盖：圆形，直径大于链接件直径，四个可用于固定支撑漏斗的圆柱形孔，其中相对的两个可以穿通，用于固定铁丝，中心向下圆点处有用于悬挂、固定诱芯的带孔小圆柱体，与美国白蛾诱芯配套使用。</w:t>
            </w:r>
          </w:p>
          <w:p>
            <w:pPr>
              <w:pStyle w:val="null3"/>
              <w:ind w:firstLine="400"/>
            </w:pPr>
            <w:r>
              <w:rPr>
                <w:rFonts w:ascii="仿宋_GB2312" w:hAnsi="仿宋_GB2312" w:cs="仿宋_GB2312" w:eastAsia="仿宋_GB2312"/>
                <w:sz w:val="18"/>
              </w:rPr>
              <w:t>火锅式连接件：高210mm，相对的两个支撑杆分别长30±1mm和40±2mm；上端内径95±1mm、外径120±22mm；下端内径30±2mm，外径165±2mm，漏斗高95±1mm。</w:t>
            </w:r>
          </w:p>
          <w:p>
            <w:pPr>
              <w:pStyle w:val="null3"/>
              <w:ind w:firstLine="400"/>
            </w:pPr>
            <w:r>
              <w:rPr>
                <w:rFonts w:ascii="仿宋_GB2312" w:hAnsi="仿宋_GB2312" w:cs="仿宋_GB2312" w:eastAsia="仿宋_GB2312"/>
                <w:sz w:val="18"/>
              </w:rPr>
              <w:t>集虫桶：上端内径153±3mm、外径166±3mm；下端直径132±2mm、桶高133±3mm。</w:t>
            </w:r>
          </w:p>
          <w:p>
            <w:pPr>
              <w:pStyle w:val="null3"/>
              <w:ind w:firstLine="400"/>
            </w:pPr>
            <w:r>
              <w:rPr>
                <w:rFonts w:ascii="仿宋_GB2312" w:hAnsi="仿宋_GB2312" w:cs="仿宋_GB2312" w:eastAsia="仿宋_GB2312"/>
                <w:sz w:val="18"/>
              </w:rPr>
              <w:t>诱捕器耐性强度须满足：拉伸强度不小于32MPa；筒支梁缺口冲击强度不小于4.8KJ/㎡；经紫外老化后拉伸强度不小于31MPa；筒支粱缺口冲击强度不小于4.5KJ/㎡。</w:t>
            </w:r>
          </w:p>
          <w:p>
            <w:pPr>
              <w:pStyle w:val="null3"/>
              <w:ind w:firstLine="400"/>
            </w:pPr>
            <w:r>
              <w:rPr>
                <w:rFonts w:ascii="仿宋_GB2312" w:hAnsi="仿宋_GB2312" w:cs="仿宋_GB2312" w:eastAsia="仿宋_GB2312"/>
                <w:sz w:val="18"/>
              </w:rPr>
              <w:t>诱捕器须提供国家级检测机构出具的耐性强度检测报告。</w:t>
            </w:r>
          </w:p>
          <w:p>
            <w:pPr>
              <w:pStyle w:val="null3"/>
              <w:ind w:firstLine="402"/>
            </w:pPr>
            <w:r>
              <w:rPr>
                <w:rFonts w:ascii="仿宋_GB2312" w:hAnsi="仿宋_GB2312" w:cs="仿宋_GB2312" w:eastAsia="仿宋_GB2312"/>
                <w:sz w:val="18"/>
                <w:b/>
              </w:rPr>
              <w:t>2</w:t>
            </w:r>
            <w:r>
              <w:rPr>
                <w:rFonts w:ascii="仿宋_GB2312" w:hAnsi="仿宋_GB2312" w:cs="仿宋_GB2312" w:eastAsia="仿宋_GB2312"/>
                <w:sz w:val="18"/>
                <w:b/>
              </w:rPr>
              <w:t>、美国白蛾诱芯：</w:t>
            </w:r>
          </w:p>
          <w:p>
            <w:pPr>
              <w:pStyle w:val="null3"/>
              <w:ind w:firstLine="400"/>
            </w:pPr>
            <w:r>
              <w:rPr>
                <w:rFonts w:ascii="仿宋_GB2312" w:hAnsi="仿宋_GB2312" w:cs="仿宋_GB2312" w:eastAsia="仿宋_GB2312"/>
                <w:sz w:val="18"/>
              </w:rPr>
              <w:t>诱芯信息素成分：（1，Z3,Z6）-9S,10R-环氧二十碳三烯，（Z3,Z6）-9S，10R-环氧二一碳双烯，（Z9,Z12，Z15）-十八碳三烯醛等。信息素含量≧5mg；</w:t>
            </w:r>
          </w:p>
          <w:p>
            <w:pPr>
              <w:pStyle w:val="null3"/>
              <w:ind w:firstLine="400"/>
            </w:pPr>
            <w:r>
              <w:rPr>
                <w:rFonts w:ascii="仿宋_GB2312" w:hAnsi="仿宋_GB2312" w:cs="仿宋_GB2312" w:eastAsia="仿宋_GB2312"/>
                <w:sz w:val="18"/>
              </w:rPr>
              <w:t>缓释载体：聚乙烯塑料片，长36-40mm，宽17-20mm；</w:t>
            </w:r>
          </w:p>
          <w:p>
            <w:pPr>
              <w:pStyle w:val="null3"/>
              <w:ind w:firstLine="400"/>
            </w:pPr>
            <w:r>
              <w:rPr>
                <w:rFonts w:ascii="仿宋_GB2312" w:hAnsi="仿宋_GB2312" w:cs="仿宋_GB2312" w:eastAsia="仿宋_GB2312"/>
                <w:sz w:val="18"/>
              </w:rPr>
              <w:t>缓释时间：75-90天</w:t>
            </w:r>
          </w:p>
          <w:p>
            <w:pPr>
              <w:pStyle w:val="null3"/>
              <w:ind w:firstLine="400"/>
            </w:pPr>
            <w:r>
              <w:rPr>
                <w:rFonts w:ascii="仿宋_GB2312" w:hAnsi="仿宋_GB2312" w:cs="仿宋_GB2312" w:eastAsia="仿宋_GB2312"/>
                <w:sz w:val="18"/>
              </w:rPr>
              <w:t>美国白蛾诱芯具有省级及省级以上信息素含量分析测试报告。</w:t>
            </w:r>
          </w:p>
          <w:p>
            <w:pPr>
              <w:pStyle w:val="null3"/>
            </w:pPr>
            <w:r>
              <w:rPr>
                <w:rFonts w:ascii="仿宋_GB2312" w:hAnsi="仿宋_GB2312" w:cs="仿宋_GB2312" w:eastAsia="仿宋_GB2312"/>
                <w:sz w:val="18"/>
              </w:rPr>
              <w:t xml:space="preserve">   注：货物原装合格且是正规合法渠道的产品。</w:t>
            </w:r>
          </w:p>
          <w:p>
            <w:pPr>
              <w:pStyle w:val="null3"/>
            </w:pPr>
            <w:r>
              <w:rPr>
                <w:rFonts w:ascii="仿宋_GB2312" w:hAnsi="仿宋_GB2312" w:cs="仿宋_GB2312" w:eastAsia="仿宋_GB2312"/>
                <w:sz w:val="18"/>
                <w:b/>
              </w:rPr>
              <w:t>三、服务要求</w:t>
            </w:r>
          </w:p>
          <w:p>
            <w:pPr>
              <w:pStyle w:val="null3"/>
            </w:pPr>
            <w:r>
              <w:rPr>
                <w:rFonts w:ascii="仿宋_GB2312" w:hAnsi="仿宋_GB2312" w:cs="仿宋_GB2312" w:eastAsia="仿宋_GB2312"/>
                <w:sz w:val="18"/>
              </w:rPr>
              <w:t xml:space="preserve">    供应商签订合同后，需按时供货，保证质量。同时负责技术培训及指导服务。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合同签订之日起10个工作日。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西安市林木病虫害防治检疫站 (农林巷7号）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合同签订后10个工作日内提交货物并经采购人验收合格后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采购方确认产品的产地、材料、规格和数量，验收合格后，填写项目验收单作为对产品的最终认可。</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12个月。（自交货验收合格之日算起）</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1.按《中华人民共和国民法典》中的相关条款执行。 2.未按合同要求提供服务或产品质量不能满足使用要求，采购方有权终止合同，并对供方违约行为进行追究，同时按有关规定进行处罚。 （二）合同争议解决的方式：本合同在履行过程中发生的争议，由甲、乙双方当事人协商解决，协商不成的按下列第2种方式解决： 1.提交西安仲裁委员会仲裁； 2.依法向有管辖权的人民法院起诉。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供应商报价不允许超过最高限价。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提供2023年度经审计的财务审计报告或提供本项目磋商前三个月内基本开户银行出具的资信良好的证明或提供政府采购专业担保机构出具的投标担保函并进行电子签章（提供银行资信证明的需同时附基本存款账户开户许可证或基本存款账户信息）</w:t>
            </w:r>
          </w:p>
        </w:tc>
        <w:tc>
          <w:tcPr>
            <w:tcW w:type="dxa" w:w="1661"/>
          </w:tcPr>
          <w:p>
            <w:pPr>
              <w:pStyle w:val="null3"/>
            </w:pPr>
            <w:r>
              <w:rPr>
                <w:rFonts w:ascii="仿宋_GB2312" w:hAnsi="仿宋_GB2312" w:cs="仿宋_GB2312" w:eastAsia="仿宋_GB2312"/>
              </w:rPr>
              <w:t>项目组人员配备.docx 业绩.docx 供应商应提交的相关资格证明文件.docx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响应方案.docx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供应商需在项目电子化交易系统中提供“法定代表人身份证明书/法定代表人授权委托书”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审计报告或提供本项目磋商前三个月内基本开户银行出具的资信良好的证明或提供政府采购专业担保机构出具的投标担保函（提供银行资信证明的需同时附基本存款账户开户许可证（或基本存款账户信息）；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 提供递交响应文件截止之日前一年内不少于三个月的依法缴纳税收的相关凭据（时间以税款所属日期为准），依法免税或无须缴纳税收的供应商，应提供相应证明文件；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提供递交响应文件截止之日前一年内不少于三个月的社会保障资金缴纳证明，依法不需要缴纳社会保障资金的供应商应提供相关文件证明；供应商需在项目电子化交易系统中提供相关证明文件并进行电子签章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参加政府采购活动前3年内在经营活动中没有重大违法记录的书面声明；供应商需在项目电子化交易系统中提供书面声明并进行电子签章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 xml:space="preserve"> 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 以评标现场查询结果为准</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供应商需在项目电子化交易系统中提供承诺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供应商需在项目电子化交易系统中提供相应的证明文件并进行电子签章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项目组人员配备.docx 业绩.docx 中小企业声明函 商务应答表 报价表 供应商承诺书.docx 响应方案.docx 响应文件封面 产品技术参数表 残疾人福利性单位声明函 标的清单 供应商应提交的相关资格证明文件.docx 响应函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项目组人员配备.docx 业绩.docx 中小企业声明函 商务应答表 报价表 供应商承诺书.docx 响应方案.docx 响应文件封面 产品技术参数表 残疾人福利性单位声明函 标的清单 供应商应提交的相关资格证明文件.docx 响应函 磋商报价一览表.docx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响应文件封面 标的清单 报价表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 标的清单 报价表 磋商报价一览表.docx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符合“第三章 质量验收标准或规范”的要求</w:t>
            </w:r>
          </w:p>
        </w:tc>
        <w:tc>
          <w:tcPr>
            <w:tcW w:type="dxa" w:w="1661"/>
          </w:tcPr>
          <w:p>
            <w:pPr>
              <w:pStyle w:val="null3"/>
            </w:pPr>
            <w:r>
              <w:rPr>
                <w:rFonts w:ascii="仿宋_GB2312" w:hAnsi="仿宋_GB2312" w:cs="仿宋_GB2312" w:eastAsia="仿宋_GB2312"/>
              </w:rPr>
              <w:t>响应文件封面 商务应答表 标的清单 报价表 磋商报价一览表.docx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项目组人员配备.docx 业绩.docx 中小企业声明函 商务应答表 报价表 供应商承诺书.docx 响应方案.docx 响应文件封面 产品技术参数表 残疾人福利性单位声明函 标的清单 供应商应提交的相关资格证明文件.docx 响应函 磋商报价一览表.docx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项目组人员配备.docx 业绩.docx 中小企业声明函 商务应答表 报价表 供应商承诺书.docx 响应方案.docx 响应文件封面 产品技术参数表 残疾人福利性单位声明函 标的清单 供应商应提交的相关资格证明文件.docx 响应函 磋商报价一览表.docx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投标产品技术参数需清楚、明确，有相应齐全的技术证明资料，完全满足招标要求的计 30 分，参数负偏离一项扣 3 分，扣完为止。 注：产品技术证明材料包括但不限于：产品相关技术资料、生产厂商确认盖章的技术参数、产品彩页、官网截图、相应型号的产品检测报告、著作权证书等技术条款证明文件。不满足或未提供不得分。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 xml:space="preserve"> 1.供应商提供产品运输、供货等配送方案措施，方案合理、具体、可行，完全满足项目需求得5分；方案较为详尽可行，基本满足项目需求得3分；不够详细全面，得1分；不满足或未提供不得分。 2.针对本项目提供具体可行的安装、验收服务方案及保证按期供货，安装、验收服务方案方案详细，可行性、针对性强及保证按期供货得5分；方案及说明较详细，可行性、针对性较强，基本保证按期供货得3分；不够详细全面，基本保证按期供货得1分；不满足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 xml:space="preserve"> 1.产品渠道正常，供应商需提供主要产品来源渠道证明文件,（包括但不限于销售协议、代理协议、原厂授权等）复印或扫描件并加盖公章，完全满足要求且资料齐全的得5分；部分满足或提供相关资料不全者得3分；不满足或未提供不得分。 2.项目实施过程中如何实施质量保证措施，保证措施方案科学、合理、可行的得5分；基本合理可行的得3分；合理性和可行性较差的得1分；不满足或未提供不得分。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响应产品的保修时间、保修期内的保修内容与范围、维修响应时间等（提供厂家或供应商的服务承诺和保障措施），售后服务站点分布，维修保障，承诺内容全面，方案可行性强得5分；承诺内容宽泛、较具体得3分；承诺内容不够具体，可行性差得1分；不满足或未提供不得分。 2.供应商针对本项目有详细可行的技术培训措施：培训计划完善，内容充实，安排合理，保证使用单位能熟练操作维护和正常使用，得5分；培训计划基本完善，内容较充实，安排基本合理，得3分；培训计划不完善，安排不合理，得1分；不满足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项目组人员配备</w:t>
            </w:r>
          </w:p>
        </w:tc>
        <w:tc>
          <w:tcPr>
            <w:tcW w:type="dxa" w:w="2492"/>
          </w:tcPr>
          <w:p>
            <w:pPr>
              <w:pStyle w:val="null3"/>
            </w:pPr>
            <w:r>
              <w:rPr>
                <w:rFonts w:ascii="仿宋_GB2312" w:hAnsi="仿宋_GB2312" w:cs="仿宋_GB2312" w:eastAsia="仿宋_GB2312"/>
              </w:rPr>
              <w:t>项目组织机构健全，人员经验丰富、配备合理得5分；项目组织机构基本健全，人员经验较丰富、配备较合理得3分；项目组织机构不太健全，人员经验一般丰富、配备一般合理得1分；不满足或未提供不得分。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供应商提供近 3 年内（2022 年 1 月至今）类似项目业绩，每提供 1 份得 1 分，最多得 5 分,未提供不得分。（以中标通知书或合同为准）不满足或未提供不得分。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采用低价优先法计算，即满足磋商文件要求且最终报价最低的价格为磋商基准价，其价格分为满分。其他投标人的价格分统一按照下列公式计算： 磋商报价得分=（磋商基准价/最终磋商报价）×30超出预算的磋商报价在评审过程中按无效投标处理。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详见附件：项目组人员配备.docx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