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3EE41">
      <w:pPr>
        <w:pStyle w:val="2"/>
        <w:keepNext/>
        <w:keepLines/>
        <w:pageBreakBefore w:val="0"/>
        <w:widowControl w:val="0"/>
        <w:numPr>
          <w:ilvl w:val="0"/>
          <w:numId w:val="0"/>
        </w:numPr>
        <w:kinsoku/>
        <w:wordWrap/>
        <w:overflowPunct/>
        <w:topLinePunct w:val="0"/>
        <w:autoSpaceDE/>
        <w:autoSpaceDN/>
        <w:bidi w:val="0"/>
        <w:adjustRightInd/>
        <w:snapToGrid/>
        <w:spacing w:before="300" w:after="300" w:line="480" w:lineRule="auto"/>
        <w:jc w:val="center"/>
        <w:textAlignment w:val="auto"/>
        <w:rPr>
          <w:rFonts w:hint="eastAsia" w:ascii="宋体" w:hAnsi="宋体" w:eastAsia="宋体" w:cs="宋体"/>
          <w:b/>
          <w:bCs/>
          <w:snapToGrid w:val="0"/>
          <w:color w:val="auto"/>
          <w:spacing w:val="8"/>
          <w:kern w:val="0"/>
          <w:sz w:val="31"/>
          <w:szCs w:val="31"/>
          <w:highlight w:val="none"/>
          <w:lang w:val="en-US" w:eastAsia="en-US" w:bidi="ar-SA"/>
        </w:rPr>
      </w:pPr>
      <w:r>
        <w:rPr>
          <w:rFonts w:hint="eastAsia" w:ascii="宋体" w:hAnsi="宋体" w:eastAsia="宋体" w:cs="宋体"/>
          <w:b/>
          <w:bCs/>
          <w:snapToGrid w:val="0"/>
          <w:color w:val="auto"/>
          <w:spacing w:val="8"/>
          <w:kern w:val="0"/>
          <w:sz w:val="31"/>
          <w:szCs w:val="31"/>
          <w:highlight w:val="none"/>
          <w:lang w:val="en-US" w:eastAsia="zh-CN" w:bidi="ar-SA"/>
        </w:rPr>
        <w:t xml:space="preserve">第四部分 </w:t>
      </w:r>
      <w:r>
        <w:rPr>
          <w:rFonts w:hint="eastAsia" w:ascii="宋体" w:hAnsi="宋体" w:eastAsia="宋体" w:cs="宋体"/>
          <w:b/>
          <w:bCs/>
          <w:snapToGrid w:val="0"/>
          <w:color w:val="auto"/>
          <w:spacing w:val="8"/>
          <w:kern w:val="0"/>
          <w:sz w:val="31"/>
          <w:szCs w:val="31"/>
          <w:highlight w:val="none"/>
          <w:lang w:val="en-US" w:eastAsia="en-US" w:bidi="ar-SA"/>
        </w:rPr>
        <w:t xml:space="preserve"> </w:t>
      </w:r>
      <w:bookmarkStart w:id="0" w:name="_Toc29270"/>
      <w:bookmarkStart w:id="1" w:name="_Toc2700"/>
      <w:bookmarkStart w:id="2" w:name="_Toc6820"/>
      <w:bookmarkStart w:id="3" w:name="_Toc23008"/>
      <w:r>
        <w:rPr>
          <w:rFonts w:hint="eastAsia" w:ascii="宋体" w:hAnsi="宋体" w:eastAsia="宋体" w:cs="宋体"/>
          <w:b/>
          <w:bCs/>
          <w:snapToGrid w:val="0"/>
          <w:color w:val="auto"/>
          <w:spacing w:val="8"/>
          <w:kern w:val="0"/>
          <w:sz w:val="31"/>
          <w:szCs w:val="31"/>
          <w:highlight w:val="none"/>
          <w:lang w:val="en-US" w:eastAsia="zh-CN" w:bidi="ar-SA"/>
        </w:rPr>
        <w:t>拟签订的合同主要条款</w:t>
      </w:r>
      <w:bookmarkEnd w:id="0"/>
      <w:bookmarkEnd w:id="1"/>
      <w:bookmarkEnd w:id="2"/>
      <w:bookmarkEnd w:id="3"/>
    </w:p>
    <w:p w14:paraId="6FC2AAEC">
      <w:pPr>
        <w:pStyle w:val="4"/>
        <w:keepNext w:val="0"/>
        <w:keepLines w:val="0"/>
        <w:pageBreakBefore w:val="0"/>
        <w:kinsoku/>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采购人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032E6794">
      <w:pPr>
        <w:pStyle w:val="4"/>
        <w:keepNext w:val="0"/>
        <w:keepLines w:val="0"/>
        <w:pageBreakBefore w:val="0"/>
        <w:kinsoku/>
        <w:overflowPunct/>
        <w:topLinePunct w:val="0"/>
        <w:bidi w:val="0"/>
        <w:spacing w:line="360" w:lineRule="auto"/>
        <w:textAlignment w:val="auto"/>
        <w:rPr>
          <w:rFonts w:hint="eastAsia" w:ascii="宋体" w:hAnsi="宋体" w:eastAsia="宋体" w:cs="宋体"/>
          <w:bCs/>
          <w:sz w:val="24"/>
          <w:szCs w:val="24"/>
          <w:highlight w:val="none"/>
          <w:lang w:val="en-US" w:eastAsia="zh-CN"/>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w:t>
      </w:r>
    </w:p>
    <w:p w14:paraId="06153932">
      <w:pPr>
        <w:keepNext w:val="0"/>
        <w:keepLines w:val="0"/>
        <w:pageBreakBefore w:val="0"/>
        <w:kinsoku/>
        <w:overflowPunct/>
        <w:topLinePunct w:val="0"/>
        <w:bidi w:val="0"/>
        <w:adjustRightIn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rPr>
        <w:t>依据《中华人民共和国民法典》</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《中华人民共和国政府采购法》有关规定和</w:t>
      </w:r>
      <w:r>
        <w:rPr>
          <w:rFonts w:hint="eastAsia" w:ascii="宋体" w:hAnsi="宋体" w:eastAsia="宋体" w:cs="宋体"/>
          <w:bCs/>
          <w:sz w:val="24"/>
          <w:szCs w:val="24"/>
          <w:highlight w:val="none"/>
          <w:lang w:val="en-US" w:eastAsia="zh-CN"/>
        </w:rPr>
        <w:t>西安博物院</w:t>
      </w:r>
      <w:r>
        <w:rPr>
          <w:rFonts w:hint="eastAsia" w:ascii="宋体" w:hAnsi="宋体" w:eastAsia="宋体" w:cs="宋体"/>
          <w:bCs/>
          <w:sz w:val="24"/>
          <w:szCs w:val="24"/>
          <w:highlight w:val="none"/>
        </w:rPr>
        <w:t>“一半烟火一半诗-长沙窑的生活美学展”文物运输及保险项目</w:t>
      </w:r>
      <w:r>
        <w:rPr>
          <w:rFonts w:hint="eastAsia" w:ascii="宋体" w:hAnsi="宋体" w:eastAsia="宋体" w:cs="宋体"/>
          <w:bCs/>
          <w:sz w:val="24"/>
          <w:szCs w:val="24"/>
          <w:highlight w:val="none"/>
          <w:lang w:val="en-US" w:eastAsia="zh-CN"/>
        </w:rPr>
        <w:t>磋商</w:t>
      </w:r>
      <w:r>
        <w:rPr>
          <w:rFonts w:hint="eastAsia" w:ascii="宋体" w:hAnsi="宋体" w:eastAsia="宋体" w:cs="宋体"/>
          <w:bCs/>
          <w:sz w:val="24"/>
          <w:szCs w:val="24"/>
          <w:highlight w:val="none"/>
        </w:rPr>
        <w:t>文件、乙方</w:t>
      </w:r>
      <w:r>
        <w:rPr>
          <w:rFonts w:hint="eastAsia" w:ascii="宋体" w:hAnsi="宋体" w:eastAsia="宋体" w:cs="宋体"/>
          <w:bCs/>
          <w:sz w:val="24"/>
          <w:szCs w:val="24"/>
          <w:highlight w:val="none"/>
          <w:lang w:val="en-US" w:eastAsia="zh-CN"/>
        </w:rPr>
        <w:t>响应</w:t>
      </w:r>
      <w:r>
        <w:rPr>
          <w:rFonts w:hint="eastAsia" w:ascii="宋体" w:hAnsi="宋体" w:eastAsia="宋体" w:cs="宋体"/>
          <w:bCs/>
          <w:sz w:val="24"/>
          <w:szCs w:val="24"/>
          <w:highlight w:val="none"/>
        </w:rPr>
        <w:t>文件，经甲乙双方协商，签订本合同，共同信守。</w:t>
      </w:r>
    </w:p>
    <w:p w14:paraId="617D8C1C">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宋体" w:hAnsi="宋体" w:eastAsia="宋体" w:cs="宋体"/>
          <w:b/>
          <w:bCs/>
          <w:sz w:val="24"/>
          <w:szCs w:val="24"/>
          <w:highlight w:val="none"/>
          <w:lang w:val="zh-CN"/>
        </w:rPr>
      </w:pPr>
      <w:bookmarkStart w:id="4" w:name="_Toc26755"/>
      <w:bookmarkStart w:id="5" w:name="_Toc13189"/>
      <w:bookmarkStart w:id="6" w:name="_Toc23670"/>
      <w:bookmarkStart w:id="7" w:name="_Toc26888"/>
      <w:bookmarkStart w:id="8" w:name="_Toc24336"/>
      <w:bookmarkStart w:id="9" w:name="_Toc6164"/>
      <w:r>
        <w:rPr>
          <w:rFonts w:hint="eastAsia" w:ascii="宋体" w:hAnsi="宋体" w:eastAsia="宋体" w:cs="宋体"/>
          <w:b/>
          <w:bCs/>
          <w:sz w:val="24"/>
          <w:szCs w:val="24"/>
          <w:highlight w:val="none"/>
        </w:rPr>
        <w:t>一、服务内容</w:t>
      </w:r>
      <w:bookmarkEnd w:id="4"/>
      <w:bookmarkEnd w:id="5"/>
      <w:bookmarkEnd w:id="6"/>
      <w:bookmarkEnd w:id="7"/>
      <w:bookmarkEnd w:id="8"/>
      <w:bookmarkEnd w:id="9"/>
    </w:p>
    <w:p w14:paraId="64A1D323">
      <w:pPr>
        <w:pStyle w:val="4"/>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（一）工作内容：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b w:val="0"/>
          <w:bCs w:val="0"/>
          <w:color w:val="000000"/>
          <w:sz w:val="24"/>
          <w:szCs w:val="24"/>
          <w:highlight w:val="none"/>
          <w:u w:val="single"/>
          <w:lang w:val="en-US" w:eastAsia="zh-CN"/>
        </w:rPr>
        <w:t xml:space="preserve">                                         </w:t>
      </w:r>
    </w:p>
    <w:p w14:paraId="17C004A8">
      <w:pPr>
        <w:pStyle w:val="4"/>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hAnsi="宋体" w:eastAsia="宋体" w:cs="宋体"/>
          <w:b w:val="0"/>
          <w:bCs w:val="0"/>
          <w:color w:val="000000"/>
          <w:sz w:val="24"/>
          <w:szCs w:val="24"/>
          <w:highlight w:val="none"/>
          <w:u w:val="single"/>
          <w:lang w:val="en-US" w:eastAsia="zh-CN"/>
        </w:rPr>
      </w:pPr>
      <w:r>
        <w:rPr>
          <w:rFonts w:hint="eastAsia" w:ascii="宋体" w:hAnsi="宋体" w:eastAsia="宋体" w:cs="宋体"/>
          <w:sz w:val="24"/>
          <w:szCs w:val="24"/>
          <w:highlight w:val="none"/>
          <w:lang w:val="en-US" w:eastAsia="zh-CN"/>
        </w:rPr>
        <w:t>（二）工作范围：</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b w:val="0"/>
          <w:bCs w:val="0"/>
          <w:color w:val="000000"/>
          <w:sz w:val="24"/>
          <w:szCs w:val="24"/>
          <w:highlight w:val="none"/>
          <w:u w:val="single"/>
          <w:lang w:val="en-US" w:eastAsia="zh-CN"/>
        </w:rPr>
        <w:t xml:space="preserve">                                         </w:t>
      </w:r>
    </w:p>
    <w:p w14:paraId="22D49322">
      <w:pPr>
        <w:keepNext w:val="0"/>
        <w:keepLines w:val="0"/>
        <w:pageBreakBefore w:val="0"/>
        <w:kinsoku/>
        <w:overflowPunct/>
        <w:topLinePunct w:val="0"/>
        <w:bidi w:val="0"/>
        <w:spacing w:line="360" w:lineRule="auto"/>
        <w:textAlignment w:val="auto"/>
        <w:rPr>
          <w:rFonts w:hint="eastAsia" w:ascii="宋体" w:hAnsi="宋体" w:eastAsia="宋体" w:cs="宋体"/>
          <w:b/>
          <w:bCs/>
          <w:sz w:val="24"/>
          <w:szCs w:val="24"/>
          <w:highlight w:val="none"/>
          <w:lang w:val="en-US"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b w:val="0"/>
          <w:bCs w:val="0"/>
          <w:color w:val="auto"/>
          <w:kern w:val="2"/>
          <w:sz w:val="24"/>
          <w:szCs w:val="24"/>
          <w:highlight w:val="none"/>
          <w:lang w:val="en-US" w:eastAsia="zh-CN" w:bidi="ar-SA"/>
        </w:rPr>
        <w:t xml:space="preserve"> ......   </w:t>
      </w:r>
    </w:p>
    <w:p w14:paraId="0B0621B4">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宋体" w:hAnsi="宋体" w:eastAsia="宋体" w:cs="宋体"/>
          <w:b/>
          <w:bCs/>
          <w:sz w:val="24"/>
          <w:szCs w:val="24"/>
          <w:highlight w:val="none"/>
        </w:rPr>
      </w:pPr>
      <w:bookmarkStart w:id="10" w:name="_Toc21875"/>
      <w:bookmarkStart w:id="11" w:name="_Toc1857"/>
      <w:bookmarkStart w:id="12" w:name="_Toc19967"/>
      <w:bookmarkStart w:id="13" w:name="_Toc16211"/>
      <w:bookmarkStart w:id="14" w:name="_Toc23408"/>
      <w:bookmarkStart w:id="15" w:name="_Toc9778"/>
      <w:r>
        <w:rPr>
          <w:rFonts w:hint="eastAsia" w:ascii="宋体" w:hAnsi="宋体" w:eastAsia="宋体" w:cs="宋体"/>
          <w:b/>
          <w:bCs/>
          <w:sz w:val="24"/>
          <w:szCs w:val="24"/>
          <w:highlight w:val="none"/>
        </w:rPr>
        <w:t>二、合同价款</w:t>
      </w:r>
      <w:bookmarkEnd w:id="10"/>
      <w:bookmarkEnd w:id="11"/>
      <w:bookmarkEnd w:id="12"/>
      <w:bookmarkEnd w:id="13"/>
      <w:bookmarkEnd w:id="14"/>
      <w:bookmarkEnd w:id="15"/>
    </w:p>
    <w:p w14:paraId="7AFCA775">
      <w:pPr>
        <w:keepNext w:val="0"/>
        <w:keepLines w:val="0"/>
        <w:pageBreakBefore w:val="0"/>
        <w:kinsoku/>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（一）合同总价款（</w:t>
      </w:r>
      <w:r>
        <w:rPr>
          <w:rFonts w:hint="eastAsia" w:ascii="宋体" w:hAnsi="宋体" w:eastAsia="宋体" w:cs="宋体"/>
          <w:bCs/>
          <w:sz w:val="24"/>
          <w:szCs w:val="24"/>
          <w:highlight w:val="none"/>
          <w:lang w:val="en-US" w:eastAsia="zh-CN"/>
        </w:rPr>
        <w:t>中标</w:t>
      </w:r>
      <w:r>
        <w:rPr>
          <w:rFonts w:hint="eastAsia" w:ascii="宋体" w:hAnsi="宋体" w:eastAsia="宋体" w:cs="宋体"/>
          <w:bCs/>
          <w:sz w:val="24"/>
          <w:szCs w:val="24"/>
          <w:highlight w:val="none"/>
        </w:rPr>
        <w:t>金额）：</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 xml:space="preserve">                           </w:t>
      </w:r>
    </w:p>
    <w:p w14:paraId="58300B49">
      <w:pPr>
        <w:keepNext w:val="0"/>
        <w:keepLines w:val="0"/>
        <w:pageBreakBefore w:val="0"/>
        <w:kinsoku/>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（二）合同价款包括但不限于以下费用：</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lang w:val="en-US" w:eastAsia="zh-CN"/>
        </w:rPr>
        <w:t xml:space="preserve">    </w:t>
      </w:r>
      <w:r>
        <w:rPr>
          <w:rFonts w:hint="eastAsia" w:ascii="宋体" w:hAnsi="宋体" w:eastAsia="宋体" w:cs="宋体"/>
          <w:bCs/>
          <w:sz w:val="24"/>
          <w:szCs w:val="24"/>
          <w:highlight w:val="none"/>
        </w:rPr>
        <w:t xml:space="preserve">                      </w:t>
      </w:r>
    </w:p>
    <w:p w14:paraId="6BAFE851">
      <w:pPr>
        <w:keepNext w:val="0"/>
        <w:keepLines w:val="0"/>
        <w:pageBreakBefore w:val="0"/>
        <w:kinsoku/>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（三）合同类型：固定总价合同。</w:t>
      </w:r>
    </w:p>
    <w:p w14:paraId="4DAA8BFD">
      <w:pPr>
        <w:keepNext w:val="0"/>
        <w:keepLines w:val="0"/>
        <w:pageBreakBefore w:val="0"/>
        <w:kinsoku/>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rPr>
        <w:t xml:space="preserve">      ......  </w:t>
      </w:r>
      <w:bookmarkStart w:id="64" w:name="_GoBack"/>
      <w:bookmarkEnd w:id="64"/>
    </w:p>
    <w:p w14:paraId="45494B0D">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宋体" w:hAnsi="宋体" w:eastAsia="宋体" w:cs="宋体"/>
          <w:b/>
          <w:bCs/>
          <w:sz w:val="24"/>
          <w:szCs w:val="24"/>
          <w:highlight w:val="none"/>
          <w:lang w:val="en-US" w:eastAsia="zh-CN"/>
        </w:rPr>
      </w:pPr>
      <w:bookmarkStart w:id="16" w:name="_Toc23275"/>
      <w:bookmarkStart w:id="17" w:name="_Toc6381"/>
      <w:bookmarkStart w:id="18" w:name="_Toc10028"/>
      <w:bookmarkStart w:id="19" w:name="_Toc5852"/>
      <w:bookmarkStart w:id="20" w:name="_Toc25402"/>
      <w:bookmarkStart w:id="21" w:name="_Toc18619"/>
      <w:r>
        <w:rPr>
          <w:rFonts w:hint="eastAsia" w:ascii="宋体" w:hAnsi="宋体" w:eastAsia="宋体" w:cs="宋体"/>
          <w:b/>
          <w:bCs/>
          <w:sz w:val="24"/>
          <w:szCs w:val="24"/>
          <w:highlight w:val="none"/>
        </w:rPr>
        <w:t>三、付款</w:t>
      </w:r>
      <w:r>
        <w:rPr>
          <w:rFonts w:hint="eastAsia" w:ascii="宋体" w:hAnsi="宋体" w:eastAsia="宋体" w:cs="宋体"/>
          <w:b/>
          <w:bCs/>
          <w:sz w:val="24"/>
          <w:szCs w:val="24"/>
          <w:highlight w:val="none"/>
          <w:lang w:eastAsia="zh-CN"/>
        </w:rPr>
        <w:t>方式</w:t>
      </w:r>
      <w:bookmarkEnd w:id="16"/>
      <w:bookmarkEnd w:id="17"/>
      <w:bookmarkEnd w:id="18"/>
      <w:bookmarkEnd w:id="19"/>
      <w:bookmarkEnd w:id="20"/>
      <w:bookmarkEnd w:id="21"/>
    </w:p>
    <w:p w14:paraId="3B5D8F1D">
      <w:pPr>
        <w:keepNext w:val="0"/>
        <w:keepLines w:val="0"/>
        <w:pageBreakBefore w:val="0"/>
        <w:kinsoku/>
        <w:overflowPunct/>
        <w:topLinePunct w:val="0"/>
        <w:autoSpaceDE w:val="0"/>
        <w:autoSpaceDN w:val="0"/>
        <w:bidi w:val="0"/>
        <w:snapToGrid w:val="0"/>
        <w:spacing w:line="360" w:lineRule="auto"/>
        <w:ind w:firstLine="480" w:firstLineChars="200"/>
        <w:textAlignment w:val="auto"/>
        <w:rPr>
          <w:rFonts w:hint="eastAsia" w:ascii="宋体" w:hAnsi="宋体" w:eastAsia="宋体" w:cs="宋体"/>
          <w:bCs/>
          <w:sz w:val="24"/>
          <w:szCs w:val="24"/>
          <w:highlight w:val="none"/>
          <w:u w:val="single"/>
          <w:lang w:val="en-US" w:eastAsia="zh-CN"/>
        </w:rPr>
      </w:pPr>
      <w:r>
        <w:rPr>
          <w:rFonts w:hint="eastAsia" w:ascii="宋体" w:hAnsi="宋体" w:eastAsia="宋体" w:cs="宋体"/>
          <w:bCs/>
          <w:sz w:val="24"/>
          <w:szCs w:val="24"/>
          <w:highlight w:val="none"/>
        </w:rPr>
        <w:t>（一）</w:t>
      </w:r>
      <w:r>
        <w:rPr>
          <w:rFonts w:hint="eastAsia" w:ascii="宋体" w:hAnsi="宋体" w:eastAsia="宋体" w:cs="宋体"/>
          <w:bCs/>
          <w:color w:val="auto"/>
          <w:sz w:val="24"/>
          <w:szCs w:val="24"/>
          <w:highlight w:val="none"/>
        </w:rPr>
        <w:t>付款</w:t>
      </w:r>
      <w:r>
        <w:rPr>
          <w:rFonts w:hint="eastAsia" w:ascii="宋体" w:hAnsi="宋体" w:eastAsia="宋体" w:cs="宋体"/>
          <w:bCs/>
          <w:color w:val="auto"/>
          <w:sz w:val="24"/>
          <w:szCs w:val="24"/>
          <w:highlight w:val="none"/>
          <w:lang w:eastAsia="zh-CN"/>
        </w:rPr>
        <w:t>方式</w:t>
      </w:r>
      <w:r>
        <w:rPr>
          <w:rFonts w:hint="eastAsia" w:ascii="宋体" w:hAnsi="宋体" w:eastAsia="宋体" w:cs="宋体"/>
          <w:bCs/>
          <w:sz w:val="24"/>
          <w:szCs w:val="24"/>
          <w:highlight w:val="none"/>
        </w:rPr>
        <w:t>：</w:t>
      </w:r>
      <w:r>
        <w:rPr>
          <w:rFonts w:hint="eastAsia" w:ascii="宋体" w:hAnsi="宋体" w:eastAsia="宋体" w:cs="宋体"/>
          <w:bCs/>
          <w:sz w:val="24"/>
          <w:szCs w:val="24"/>
          <w:highlight w:val="none"/>
          <w:u w:val="single"/>
          <w:lang w:val="en-US" w:eastAsia="zh-CN"/>
        </w:rPr>
        <w:t xml:space="preserve">                                                      </w:t>
      </w:r>
    </w:p>
    <w:p w14:paraId="731F62AA">
      <w:pPr>
        <w:pStyle w:val="5"/>
        <w:keepNext w:val="0"/>
        <w:keepLines w:val="0"/>
        <w:pageBreakBefore w:val="0"/>
        <w:kinsoku/>
        <w:overflowPunct/>
        <w:topLinePunct w:val="0"/>
        <w:bidi w:val="0"/>
        <w:spacing w:line="360" w:lineRule="auto"/>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b w:val="0"/>
          <w:bCs w:val="0"/>
          <w:color w:val="auto"/>
          <w:kern w:val="2"/>
          <w:sz w:val="24"/>
          <w:szCs w:val="24"/>
          <w:highlight w:val="none"/>
          <w:lang w:val="en-US" w:eastAsia="zh-CN" w:bidi="ar-SA"/>
        </w:rPr>
        <w:t xml:space="preserve">......   </w:t>
      </w:r>
    </w:p>
    <w:p w14:paraId="69AE946D">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宋体" w:hAnsi="宋体" w:eastAsia="宋体" w:cs="宋体"/>
          <w:b/>
          <w:bCs w:val="0"/>
          <w:kern w:val="2"/>
          <w:sz w:val="24"/>
          <w:szCs w:val="24"/>
          <w:highlight w:val="none"/>
          <w:lang w:val="en-US" w:eastAsia="zh-CN" w:bidi="ar-SA"/>
        </w:rPr>
      </w:pPr>
      <w:bookmarkStart w:id="22" w:name="_Toc4499"/>
      <w:bookmarkStart w:id="23" w:name="_Toc26335"/>
      <w:bookmarkStart w:id="24" w:name="_Toc5029"/>
      <w:bookmarkStart w:id="25" w:name="_Toc1378"/>
      <w:bookmarkStart w:id="26" w:name="_Toc8134"/>
      <w:bookmarkStart w:id="27" w:name="_Toc13114"/>
      <w:r>
        <w:rPr>
          <w:rFonts w:hint="eastAsia" w:ascii="宋体" w:hAnsi="宋体" w:eastAsia="宋体" w:cs="宋体"/>
          <w:b/>
          <w:bCs/>
          <w:sz w:val="24"/>
          <w:szCs w:val="24"/>
          <w:highlight w:val="none"/>
        </w:rPr>
        <w:t>四</w:t>
      </w:r>
      <w:r>
        <w:rPr>
          <w:rFonts w:hint="eastAsia" w:ascii="宋体" w:hAnsi="宋体" w:eastAsia="宋体" w:cs="宋体"/>
          <w:bCs/>
          <w:kern w:val="2"/>
          <w:sz w:val="24"/>
          <w:szCs w:val="24"/>
          <w:highlight w:val="none"/>
          <w:lang w:val="en-US" w:eastAsia="zh-CN" w:bidi="ar-SA"/>
        </w:rPr>
        <w:t>、</w:t>
      </w:r>
      <w:r>
        <w:rPr>
          <w:rFonts w:hint="eastAsia" w:ascii="宋体" w:hAnsi="宋体" w:eastAsia="宋体" w:cs="宋体"/>
          <w:b/>
          <w:bCs w:val="0"/>
          <w:kern w:val="2"/>
          <w:sz w:val="24"/>
          <w:szCs w:val="24"/>
          <w:highlight w:val="none"/>
          <w:lang w:val="en-US" w:eastAsia="zh-CN" w:bidi="ar-SA"/>
        </w:rPr>
        <w:t>服务期限及服务地点</w:t>
      </w:r>
      <w:bookmarkEnd w:id="22"/>
      <w:bookmarkEnd w:id="23"/>
      <w:bookmarkEnd w:id="24"/>
      <w:bookmarkEnd w:id="25"/>
      <w:bookmarkEnd w:id="26"/>
      <w:bookmarkEnd w:id="27"/>
    </w:p>
    <w:p w14:paraId="153949BD">
      <w:pPr>
        <w:pStyle w:val="6"/>
        <w:keepNext w:val="0"/>
        <w:keepLines w:val="0"/>
        <w:pageBreakBefore w:val="0"/>
        <w:kinsoku/>
        <w:overflowPunct/>
        <w:topLinePunct w:val="0"/>
        <w:bidi w:val="0"/>
        <w:spacing w:line="360" w:lineRule="auto"/>
        <w:ind w:firstLine="480" w:firstLineChars="200"/>
        <w:textAlignment w:val="auto"/>
        <w:rPr>
          <w:rFonts w:hint="eastAsia" w:ascii="宋体" w:hAnsi="宋体" w:eastAsia="宋体" w:cs="宋体"/>
          <w:sz w:val="24"/>
          <w:szCs w:val="24"/>
          <w:highlight w:val="none"/>
          <w:u w:val="single"/>
          <w:lang w:val="en-US"/>
        </w:rPr>
      </w:pPr>
      <w:r>
        <w:rPr>
          <w:rFonts w:hint="eastAsia" w:ascii="宋体" w:hAnsi="宋体" w:eastAsia="宋体" w:cs="宋体"/>
          <w:bCs/>
          <w:kern w:val="2"/>
          <w:sz w:val="24"/>
          <w:szCs w:val="24"/>
          <w:highlight w:val="none"/>
          <w:lang w:val="en-US" w:eastAsia="zh-CN" w:bidi="ar-SA"/>
        </w:rPr>
        <w:t>（一）服务期限：</w:t>
      </w:r>
      <w:r>
        <w:rPr>
          <w:rFonts w:hint="eastAsia" w:ascii="宋体" w:hAnsi="宋体" w:eastAsia="宋体" w:cs="宋体"/>
          <w:bCs/>
          <w:kern w:val="2"/>
          <w:sz w:val="24"/>
          <w:szCs w:val="24"/>
          <w:highlight w:val="none"/>
          <w:u w:val="single"/>
          <w:lang w:val="en-US" w:eastAsia="zh-CN" w:bidi="ar-SA"/>
        </w:rPr>
        <w:t xml:space="preserve">                                               </w:t>
      </w:r>
    </w:p>
    <w:p w14:paraId="26F1FC1A">
      <w:pPr>
        <w:pStyle w:val="10"/>
        <w:keepNext w:val="0"/>
        <w:keepLines w:val="0"/>
        <w:pageBreakBefore w:val="0"/>
        <w:kinsoku/>
        <w:overflowPunct/>
        <w:topLinePunct w:val="0"/>
        <w:bidi w:val="0"/>
        <w:snapToGrid w:val="0"/>
        <w:spacing w:line="360" w:lineRule="auto"/>
        <w:ind w:firstLine="480" w:firstLineChars="200"/>
        <w:textAlignment w:val="auto"/>
        <w:rPr>
          <w:rFonts w:hint="eastAsia" w:ascii="宋体" w:hAnsi="宋体" w:eastAsia="宋体" w:cs="宋体"/>
          <w:b/>
          <w:bCs/>
          <w:sz w:val="24"/>
          <w:szCs w:val="24"/>
          <w:highlight w:val="none"/>
        </w:rPr>
      </w:pPr>
      <w:r>
        <w:rPr>
          <w:rFonts w:hint="eastAsia" w:ascii="宋体" w:hAnsi="宋体" w:eastAsia="宋体" w:cs="宋体"/>
          <w:bCs/>
          <w:kern w:val="2"/>
          <w:sz w:val="24"/>
          <w:szCs w:val="24"/>
          <w:highlight w:val="none"/>
          <w:lang w:val="en-US" w:eastAsia="zh-CN" w:bidi="ar-SA"/>
        </w:rPr>
        <w:t>（二）服务地</w:t>
      </w:r>
      <w:r>
        <w:rPr>
          <w:rFonts w:hint="eastAsia" w:ascii="宋体" w:hAnsi="宋体" w:eastAsia="宋体" w:cs="宋体"/>
          <w:bCs/>
          <w:sz w:val="24"/>
          <w:szCs w:val="24"/>
          <w:highlight w:val="none"/>
        </w:rPr>
        <w:t>点：</w:t>
      </w:r>
      <w:r>
        <w:rPr>
          <w:rFonts w:hint="eastAsia" w:ascii="宋体" w:hAnsi="宋体" w:eastAsia="宋体" w:cs="宋体"/>
          <w:bCs/>
          <w:sz w:val="24"/>
          <w:szCs w:val="24"/>
          <w:highlight w:val="none"/>
          <w:u w:val="single"/>
          <w:lang w:val="en-US" w:eastAsia="zh-CN"/>
        </w:rPr>
        <w:t xml:space="preserve">                                              </w:t>
      </w:r>
      <w:bookmarkStart w:id="28" w:name="_Toc23281"/>
    </w:p>
    <w:p w14:paraId="5FC1A3B4">
      <w:pPr>
        <w:pStyle w:val="10"/>
        <w:keepNext w:val="0"/>
        <w:keepLines w:val="0"/>
        <w:pageBreakBefore w:val="0"/>
        <w:kinsoku/>
        <w:overflowPunct/>
        <w:topLinePunct w:val="0"/>
        <w:bidi w:val="0"/>
        <w:snapToGrid w:val="0"/>
        <w:spacing w:line="360" w:lineRule="auto"/>
        <w:textAlignment w:val="auto"/>
        <w:outlineLvl w:val="1"/>
        <w:rPr>
          <w:rFonts w:hint="eastAsia" w:ascii="宋体" w:hAnsi="宋体" w:eastAsia="宋体" w:cs="宋体"/>
          <w:b/>
          <w:bCs/>
          <w:color w:val="auto"/>
          <w:sz w:val="24"/>
          <w:szCs w:val="24"/>
          <w:highlight w:val="none"/>
          <w:shd w:val="clear" w:color="auto" w:fill="FFFFFF"/>
        </w:rPr>
      </w:pPr>
      <w:bookmarkStart w:id="29" w:name="_Toc11982"/>
      <w:bookmarkStart w:id="30" w:name="_Toc10843"/>
      <w:bookmarkStart w:id="31" w:name="_Toc19244"/>
      <w:bookmarkStart w:id="32" w:name="_Toc20671"/>
      <w:bookmarkStart w:id="33" w:name="_Toc19754"/>
      <w:r>
        <w:rPr>
          <w:rFonts w:hint="eastAsia" w:ascii="宋体" w:hAnsi="宋体" w:eastAsia="宋体" w:cs="宋体"/>
          <w:b/>
          <w:bCs/>
          <w:sz w:val="24"/>
          <w:szCs w:val="24"/>
          <w:highlight w:val="none"/>
        </w:rPr>
        <w:t>五、</w:t>
      </w:r>
      <w:r>
        <w:rPr>
          <w:rFonts w:hint="eastAsia" w:ascii="宋体" w:hAnsi="宋体" w:eastAsia="宋体" w:cs="宋体"/>
          <w:b/>
          <w:bCs/>
          <w:color w:val="auto"/>
          <w:sz w:val="24"/>
          <w:szCs w:val="24"/>
          <w:highlight w:val="none"/>
          <w:shd w:val="clear" w:color="auto" w:fill="FFFFFF"/>
        </w:rPr>
        <w:t>服务质量</w:t>
      </w:r>
      <w:r>
        <w:rPr>
          <w:rFonts w:hint="eastAsia" w:ascii="宋体" w:hAnsi="宋体" w:eastAsia="宋体" w:cs="宋体"/>
          <w:b/>
          <w:bCs/>
          <w:color w:val="auto"/>
          <w:sz w:val="24"/>
          <w:szCs w:val="24"/>
          <w:highlight w:val="none"/>
          <w:shd w:val="clear" w:color="auto" w:fill="FFFFFF"/>
          <w:lang w:val="en-US" w:eastAsia="zh-CN"/>
        </w:rPr>
        <w:t>标准及</w:t>
      </w:r>
      <w:r>
        <w:rPr>
          <w:rFonts w:hint="eastAsia" w:ascii="宋体" w:hAnsi="宋体" w:eastAsia="宋体" w:cs="宋体"/>
          <w:b/>
          <w:bCs/>
          <w:color w:val="auto"/>
          <w:sz w:val="24"/>
          <w:szCs w:val="24"/>
          <w:highlight w:val="none"/>
          <w:shd w:val="clear" w:color="auto" w:fill="FFFFFF"/>
        </w:rPr>
        <w:t>要求</w:t>
      </w:r>
      <w:bookmarkEnd w:id="28"/>
      <w:bookmarkEnd w:id="29"/>
      <w:bookmarkEnd w:id="30"/>
      <w:bookmarkEnd w:id="31"/>
      <w:bookmarkEnd w:id="32"/>
      <w:bookmarkEnd w:id="33"/>
    </w:p>
    <w:p w14:paraId="088E707F">
      <w:pPr>
        <w:keepNext w:val="0"/>
        <w:keepLines w:val="0"/>
        <w:pageBreakBefore w:val="0"/>
        <w:kinsoku/>
        <w:overflowPunct/>
        <w:topLinePunct w:val="0"/>
        <w:autoSpaceDE w:val="0"/>
        <w:autoSpaceDN w:val="0"/>
        <w:bidi w:val="0"/>
        <w:snapToGrid w:val="0"/>
        <w:spacing w:line="360" w:lineRule="auto"/>
        <w:ind w:firstLine="480" w:firstLineChars="200"/>
        <w:textAlignment w:val="auto"/>
        <w:rPr>
          <w:rFonts w:hint="eastAsia" w:ascii="宋体" w:hAnsi="宋体" w:eastAsia="宋体" w:cs="宋体"/>
          <w:bCs/>
          <w:sz w:val="24"/>
          <w:szCs w:val="24"/>
          <w:highlight w:val="none"/>
          <w:u w:val="single"/>
          <w:lang w:val="en-US" w:eastAsia="zh-CN"/>
        </w:rPr>
      </w:pPr>
      <w:r>
        <w:rPr>
          <w:rFonts w:hint="eastAsia" w:ascii="宋体" w:hAnsi="宋体" w:eastAsia="宋体" w:cs="宋体"/>
          <w:bCs/>
          <w:sz w:val="24"/>
          <w:szCs w:val="24"/>
          <w:highlight w:val="none"/>
        </w:rPr>
        <w:t>（一）</w:t>
      </w:r>
      <w:r>
        <w:rPr>
          <w:rFonts w:hint="eastAsia" w:ascii="宋体" w:hAnsi="宋体" w:eastAsia="宋体" w:cs="宋体"/>
          <w:bCs/>
          <w:sz w:val="24"/>
          <w:szCs w:val="24"/>
          <w:highlight w:val="none"/>
          <w:u w:val="single"/>
          <w:lang w:val="en-US" w:eastAsia="zh-CN"/>
        </w:rPr>
        <w:t xml:space="preserve">                                                         </w:t>
      </w:r>
    </w:p>
    <w:p w14:paraId="086129D8">
      <w:pPr>
        <w:pStyle w:val="5"/>
        <w:keepNext w:val="0"/>
        <w:keepLines w:val="0"/>
        <w:pageBreakBefore w:val="0"/>
        <w:kinsoku/>
        <w:overflowPunct/>
        <w:topLinePunct w:val="0"/>
        <w:bidi w:val="0"/>
        <w:spacing w:line="360" w:lineRule="auto"/>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b w:val="0"/>
          <w:bCs w:val="0"/>
          <w:color w:val="auto"/>
          <w:kern w:val="2"/>
          <w:sz w:val="24"/>
          <w:szCs w:val="24"/>
          <w:highlight w:val="none"/>
          <w:lang w:val="en-US" w:eastAsia="zh-CN" w:bidi="ar-SA"/>
        </w:rPr>
        <w:t>......</w:t>
      </w:r>
    </w:p>
    <w:p w14:paraId="148F0D6D">
      <w:pPr>
        <w:keepNext w:val="0"/>
        <w:keepLines w:val="0"/>
        <w:pageBreakBefore w:val="0"/>
        <w:numPr>
          <w:ilvl w:val="0"/>
          <w:numId w:val="1"/>
        </w:numPr>
        <w:kinsoku/>
        <w:overflowPunct/>
        <w:topLinePunct w:val="0"/>
        <w:autoSpaceDE w:val="0"/>
        <w:autoSpaceDN w:val="0"/>
        <w:bidi w:val="0"/>
        <w:snapToGrid w:val="0"/>
        <w:spacing w:line="360" w:lineRule="auto"/>
        <w:textAlignment w:val="auto"/>
        <w:outlineLvl w:val="1"/>
        <w:rPr>
          <w:rFonts w:hint="eastAsia" w:ascii="宋体" w:hAnsi="宋体" w:eastAsia="宋体" w:cs="宋体"/>
          <w:b/>
          <w:bCs/>
          <w:sz w:val="24"/>
          <w:szCs w:val="24"/>
          <w:highlight w:val="none"/>
        </w:rPr>
      </w:pPr>
      <w:bookmarkStart w:id="34" w:name="_Toc16750"/>
      <w:bookmarkStart w:id="35" w:name="_Toc15213"/>
      <w:bookmarkStart w:id="36" w:name="_Toc14545"/>
      <w:bookmarkStart w:id="37" w:name="_Toc23438"/>
      <w:bookmarkStart w:id="38" w:name="_Toc29027"/>
      <w:bookmarkStart w:id="39" w:name="_Toc24110"/>
      <w:r>
        <w:rPr>
          <w:rFonts w:hint="eastAsia" w:ascii="宋体" w:hAnsi="宋体" w:eastAsia="宋体" w:cs="宋体"/>
          <w:b/>
          <w:bCs/>
          <w:sz w:val="24"/>
          <w:szCs w:val="24"/>
          <w:highlight w:val="none"/>
        </w:rPr>
        <w:t>双方的权利和义务</w:t>
      </w:r>
      <w:bookmarkEnd w:id="34"/>
      <w:bookmarkEnd w:id="35"/>
      <w:bookmarkEnd w:id="36"/>
      <w:bookmarkEnd w:id="37"/>
      <w:bookmarkEnd w:id="38"/>
      <w:bookmarkEnd w:id="39"/>
    </w:p>
    <w:p w14:paraId="45879AA7">
      <w:pPr>
        <w:keepNext w:val="0"/>
        <w:keepLines w:val="0"/>
        <w:pageBreakBefore w:val="0"/>
        <w:kinsoku/>
        <w:overflowPunct/>
        <w:topLinePunct w:val="0"/>
        <w:autoSpaceDE w:val="0"/>
        <w:autoSpaceDN w:val="0"/>
        <w:bidi w:val="0"/>
        <w:snapToGrid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双方确定，在本合同有效期内，甲方指定</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为甲方项目联系人（电话：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，电子邮箱：</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），乙方指定</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为乙方项目联系人（电话：</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，电子邮箱：</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0A7F9265">
      <w:pPr>
        <w:keepNext w:val="0"/>
        <w:keepLines w:val="0"/>
        <w:pageBreakBefore w:val="0"/>
        <w:kinsoku/>
        <w:overflowPunct/>
        <w:topLinePunct w:val="0"/>
        <w:bidi w:val="0"/>
        <w:snapToGrid w:val="0"/>
        <w:spacing w:line="360" w:lineRule="auto"/>
        <w:ind w:firstLine="480" w:firstLineChars="200"/>
        <w:textAlignment w:val="auto"/>
        <w:rPr>
          <w:rFonts w:hint="eastAsia" w:ascii="宋体" w:hAnsi="宋体" w:eastAsia="宋体" w:cs="宋体"/>
          <w:b/>
          <w:sz w:val="24"/>
          <w:szCs w:val="24"/>
          <w:highlight w:val="none"/>
        </w:rPr>
      </w:pPr>
      <w:r>
        <w:rPr>
          <w:rFonts w:hint="eastAsia" w:ascii="宋体" w:hAnsi="宋体" w:eastAsia="宋体" w:cs="宋体"/>
          <w:sz w:val="24"/>
          <w:szCs w:val="24"/>
          <w:highlight w:val="none"/>
        </w:rPr>
        <w:t>一方变更项目联系人的，应当及时以书面形式通知另一方。未及时通知并影响本合同履行或造成损失的，应承担相应的责任。</w:t>
      </w:r>
    </w:p>
    <w:p w14:paraId="3B8A027A">
      <w:pPr>
        <w:pStyle w:val="11"/>
        <w:keepNext w:val="0"/>
        <w:keepLines w:val="0"/>
        <w:pageBreakBefore w:val="0"/>
        <w:kinsoku/>
        <w:overflowPunct/>
        <w:topLinePunct w:val="0"/>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（一）甲方的权利和义务</w:t>
      </w:r>
    </w:p>
    <w:p w14:paraId="0E2DEC01">
      <w:pPr>
        <w:pStyle w:val="11"/>
        <w:keepNext w:val="0"/>
        <w:keepLines w:val="0"/>
        <w:pageBreakBefore w:val="0"/>
        <w:kinsoku/>
        <w:overflowPunct/>
        <w:topLinePunct w:val="0"/>
        <w:bidi w:val="0"/>
        <w:spacing w:line="360" w:lineRule="auto"/>
        <w:ind w:firstLine="960" w:firstLineChars="4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lang w:val="en-US" w:eastAsia="zh-CN"/>
        </w:rPr>
        <w:t xml:space="preserve">                                                                </w:t>
      </w:r>
    </w:p>
    <w:p w14:paraId="45E3D31E">
      <w:pPr>
        <w:pStyle w:val="11"/>
        <w:keepNext w:val="0"/>
        <w:keepLines w:val="0"/>
        <w:pageBreakBefore w:val="0"/>
        <w:kinsoku/>
        <w:overflowPunct/>
        <w:topLinePunct w:val="0"/>
        <w:bidi w:val="0"/>
        <w:spacing w:line="360" w:lineRule="auto"/>
        <w:ind w:firstLine="960" w:firstLineChars="4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p>
    <w:p w14:paraId="09885129">
      <w:pPr>
        <w:pStyle w:val="11"/>
        <w:keepNext w:val="0"/>
        <w:keepLines w:val="0"/>
        <w:pageBreakBefore w:val="0"/>
        <w:kinsoku/>
        <w:overflowPunct/>
        <w:topLinePunct w:val="0"/>
        <w:bidi w:val="0"/>
        <w:spacing w:line="360" w:lineRule="auto"/>
        <w:ind w:firstLine="720" w:firstLineChars="3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b w:val="0"/>
          <w:bCs w:val="0"/>
          <w:color w:val="auto"/>
          <w:kern w:val="2"/>
          <w:sz w:val="24"/>
          <w:szCs w:val="24"/>
          <w:highlight w:val="none"/>
          <w:lang w:val="en-US" w:eastAsia="zh-CN" w:bidi="ar-SA"/>
        </w:rPr>
        <w:t>......</w:t>
      </w:r>
    </w:p>
    <w:p w14:paraId="49DEEB85">
      <w:pPr>
        <w:pStyle w:val="11"/>
        <w:keepNext w:val="0"/>
        <w:keepLines w:val="0"/>
        <w:pageBreakBefore w:val="0"/>
        <w:kinsoku/>
        <w:overflowPunct/>
        <w:topLinePunct w:val="0"/>
        <w:bidi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（二）乙方的权利和义务</w:t>
      </w:r>
    </w:p>
    <w:p w14:paraId="1C840BC0">
      <w:pPr>
        <w:pStyle w:val="11"/>
        <w:keepNext w:val="0"/>
        <w:keepLines w:val="0"/>
        <w:pageBreakBefore w:val="0"/>
        <w:kinsoku/>
        <w:overflowPunct/>
        <w:topLinePunct w:val="0"/>
        <w:bidi w:val="0"/>
        <w:spacing w:line="360" w:lineRule="auto"/>
        <w:ind w:firstLine="960" w:firstLineChars="4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lang w:val="en-US" w:eastAsia="zh-CN"/>
        </w:rPr>
        <w:t xml:space="preserve">                                                                </w:t>
      </w:r>
    </w:p>
    <w:p w14:paraId="20D3010F">
      <w:pPr>
        <w:pStyle w:val="11"/>
        <w:keepNext w:val="0"/>
        <w:keepLines w:val="0"/>
        <w:pageBreakBefore w:val="0"/>
        <w:kinsoku/>
        <w:overflowPunct/>
        <w:topLinePunct w:val="0"/>
        <w:bidi w:val="0"/>
        <w:spacing w:line="360" w:lineRule="auto"/>
        <w:ind w:firstLine="960" w:firstLineChars="4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u w:val="single"/>
          <w:lang w:val="en-US" w:eastAsia="zh-CN"/>
        </w:rPr>
        <w:t xml:space="preserve">                                                                 </w:t>
      </w:r>
    </w:p>
    <w:p w14:paraId="4196F532">
      <w:pPr>
        <w:pStyle w:val="11"/>
        <w:keepNext w:val="0"/>
        <w:keepLines w:val="0"/>
        <w:pageBreakBefore w:val="0"/>
        <w:kinsoku/>
        <w:overflowPunct/>
        <w:topLinePunct w:val="0"/>
        <w:bidi w:val="0"/>
        <w:spacing w:line="360" w:lineRule="auto"/>
        <w:ind w:firstLine="720" w:firstLineChars="3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b w:val="0"/>
          <w:bCs w:val="0"/>
          <w:color w:val="auto"/>
          <w:kern w:val="2"/>
          <w:sz w:val="24"/>
          <w:szCs w:val="24"/>
          <w:highlight w:val="none"/>
          <w:lang w:val="en-US" w:eastAsia="zh-CN" w:bidi="ar-SA"/>
        </w:rPr>
        <w:t>......</w:t>
      </w:r>
    </w:p>
    <w:p w14:paraId="59E92EDA">
      <w:pPr>
        <w:keepNext w:val="0"/>
        <w:keepLines w:val="0"/>
        <w:pageBreakBefore w:val="0"/>
        <w:kinsoku/>
        <w:overflowPunct/>
        <w:topLinePunct w:val="0"/>
        <w:bidi w:val="0"/>
        <w:snapToGrid w:val="0"/>
        <w:spacing w:line="360" w:lineRule="auto"/>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rPr>
        <w:t>、验收</w:t>
      </w:r>
      <w:r>
        <w:rPr>
          <w:rFonts w:hint="eastAsia" w:ascii="宋体" w:hAnsi="宋体" w:eastAsia="宋体" w:cs="宋体"/>
          <w:b/>
          <w:sz w:val="24"/>
          <w:szCs w:val="24"/>
          <w:highlight w:val="none"/>
          <w:lang w:val="en-US" w:eastAsia="zh-CN"/>
        </w:rPr>
        <w:t>要求</w:t>
      </w:r>
    </w:p>
    <w:p w14:paraId="09FEEBD3">
      <w:pPr>
        <w:keepNext w:val="0"/>
        <w:keepLines w:val="0"/>
        <w:pageBreakBefore w:val="0"/>
        <w:kinsoku/>
        <w:overflowPunct/>
        <w:topLinePunct w:val="0"/>
        <w:bidi w:val="0"/>
        <w:adjustRightInd w:val="0"/>
        <w:snapToGrid w:val="0"/>
        <w:spacing w:line="360" w:lineRule="auto"/>
        <w:ind w:firstLine="470" w:firstLineChars="196"/>
        <w:textAlignment w:val="auto"/>
        <w:rPr>
          <w:rFonts w:hint="eastAsia" w:ascii="宋体" w:hAnsi="宋体" w:eastAsia="宋体" w:cs="宋体"/>
          <w:sz w:val="24"/>
          <w:szCs w:val="24"/>
          <w:highlight w:val="none"/>
        </w:rPr>
      </w:pPr>
      <w:bookmarkStart w:id="40" w:name="_Toc21766"/>
      <w:bookmarkStart w:id="41" w:name="_Toc22709"/>
      <w:bookmarkStart w:id="42" w:name="_Toc28844"/>
      <w:bookmarkStart w:id="43" w:name="_Toc17878"/>
      <w:bookmarkStart w:id="44" w:name="_Toc22460"/>
      <w:bookmarkStart w:id="45" w:name="_Toc5597"/>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验收标准：</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21B0B289">
      <w:pPr>
        <w:keepNext w:val="0"/>
        <w:keepLines w:val="0"/>
        <w:pageBreakBefore w:val="0"/>
        <w:kinsoku/>
        <w:overflowPunct/>
        <w:topLinePunct w:val="0"/>
        <w:bidi w:val="0"/>
        <w:adjustRightInd w:val="0"/>
        <w:snapToGrid w:val="0"/>
        <w:spacing w:line="360" w:lineRule="auto"/>
        <w:ind w:firstLine="470" w:firstLineChars="196"/>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验收方式：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7424B60D">
      <w:pPr>
        <w:keepNext w:val="0"/>
        <w:keepLines w:val="0"/>
        <w:pageBreakBefore w:val="0"/>
        <w:kinsoku/>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（三）</w:t>
      </w:r>
      <w:r>
        <w:rPr>
          <w:rFonts w:hint="eastAsia" w:ascii="宋体" w:hAnsi="宋体" w:eastAsia="宋体" w:cs="宋体"/>
          <w:sz w:val="24"/>
          <w:szCs w:val="24"/>
          <w:highlight w:val="none"/>
        </w:rPr>
        <w:t>验收依据：</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 xml:space="preserve">  </w:t>
      </w:r>
    </w:p>
    <w:p w14:paraId="5F8BA148">
      <w:pPr>
        <w:keepNext w:val="0"/>
        <w:keepLines w:val="0"/>
        <w:pageBreakBefore w:val="0"/>
        <w:kinsoku/>
        <w:overflowPunct/>
        <w:topLinePunct w:val="0"/>
        <w:bidi w:val="0"/>
        <w:spacing w:line="360" w:lineRule="auto"/>
        <w:ind w:firstLine="480" w:firstLineChars="200"/>
        <w:textAlignment w:val="auto"/>
        <w:rPr>
          <w:rFonts w:hint="eastAsia" w:ascii="宋体" w:hAnsi="宋体" w:eastAsia="宋体" w:cs="宋体"/>
          <w:b/>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bidi="ar-SA"/>
        </w:rPr>
        <w:t xml:space="preserve"> ......  </w:t>
      </w:r>
    </w:p>
    <w:p w14:paraId="726B18DC">
      <w:pPr>
        <w:keepNext w:val="0"/>
        <w:keepLines w:val="0"/>
        <w:pageBreakBefore w:val="0"/>
        <w:kinsoku/>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b/>
          <w:sz w:val="24"/>
          <w:szCs w:val="24"/>
          <w:highlight w:val="none"/>
          <w:lang w:val="en-US" w:eastAsia="zh-CN"/>
        </w:rPr>
        <w:t>八</w:t>
      </w:r>
      <w:r>
        <w:rPr>
          <w:rFonts w:hint="eastAsia" w:ascii="宋体" w:hAnsi="宋体" w:eastAsia="宋体" w:cs="宋体"/>
          <w:b/>
          <w:sz w:val="24"/>
          <w:szCs w:val="24"/>
          <w:highlight w:val="none"/>
        </w:rPr>
        <w:t>、违约责任</w:t>
      </w:r>
      <w:bookmarkEnd w:id="40"/>
      <w:bookmarkEnd w:id="41"/>
      <w:bookmarkEnd w:id="42"/>
      <w:bookmarkEnd w:id="43"/>
      <w:bookmarkEnd w:id="44"/>
      <w:bookmarkEnd w:id="45"/>
    </w:p>
    <w:p w14:paraId="0CC9A544">
      <w:pPr>
        <w:keepNext w:val="0"/>
        <w:keepLines w:val="0"/>
        <w:pageBreakBefore w:val="0"/>
        <w:kinsoku/>
        <w:wordWrap/>
        <w:overflowPunct/>
        <w:topLinePunct w:val="0"/>
        <w:autoSpaceDE/>
        <w:autoSpaceDN/>
        <w:bidi w:val="0"/>
        <w:snapToGrid/>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（一）</w:t>
      </w:r>
      <w:r>
        <w:rPr>
          <w:rFonts w:hint="eastAsia" w:ascii="宋体" w:hAnsi="宋体" w:eastAsia="宋体" w:cs="宋体"/>
          <w:sz w:val="24"/>
          <w:szCs w:val="24"/>
          <w:highlight w:val="none"/>
        </w:rPr>
        <w:t>甲乙双方</w:t>
      </w:r>
      <w:r>
        <w:rPr>
          <w:rFonts w:hint="eastAsia" w:ascii="宋体" w:hAnsi="宋体" w:eastAsia="宋体" w:cs="宋体"/>
          <w:sz w:val="24"/>
          <w:szCs w:val="24"/>
          <w:highlight w:val="none"/>
          <w:lang w:val="en-US" w:eastAsia="zh-CN"/>
        </w:rPr>
        <w:t>应当</w:t>
      </w:r>
      <w:r>
        <w:rPr>
          <w:rFonts w:hint="eastAsia" w:ascii="宋体" w:hAnsi="宋体" w:eastAsia="宋体" w:cs="宋体"/>
          <w:sz w:val="24"/>
          <w:szCs w:val="24"/>
          <w:highlight w:val="none"/>
        </w:rPr>
        <w:t>遵守本合同并执行合同中的各项</w:t>
      </w:r>
      <w:r>
        <w:rPr>
          <w:rFonts w:hint="eastAsia" w:ascii="宋体" w:hAnsi="宋体" w:eastAsia="宋体" w:cs="宋体"/>
          <w:sz w:val="24"/>
          <w:szCs w:val="24"/>
          <w:highlight w:val="none"/>
          <w:lang w:val="en-US" w:eastAsia="zh-CN"/>
        </w:rPr>
        <w:t>约</w:t>
      </w:r>
      <w:r>
        <w:rPr>
          <w:rFonts w:hint="eastAsia" w:ascii="宋体" w:hAnsi="宋体" w:eastAsia="宋体" w:cs="宋体"/>
          <w:sz w:val="24"/>
          <w:szCs w:val="24"/>
          <w:highlight w:val="none"/>
        </w:rPr>
        <w:t>定，保证本合同的正常履行。</w:t>
      </w:r>
    </w:p>
    <w:p w14:paraId="02625918">
      <w:pPr>
        <w:keepNext w:val="0"/>
        <w:keepLines w:val="0"/>
        <w:pageBreakBefore w:val="0"/>
        <w:kinsoku/>
        <w:wordWrap/>
        <w:overflowPunct/>
        <w:topLinePunct w:val="0"/>
        <w:autoSpaceDE/>
        <w:autoSpaceDN/>
        <w:bidi w:val="0"/>
        <w:snapToGrid/>
        <w:spacing w:line="360" w:lineRule="auto"/>
        <w:ind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（二）</w:t>
      </w:r>
      <w:r>
        <w:rPr>
          <w:rFonts w:hint="eastAsia" w:ascii="宋体" w:hAnsi="宋体" w:eastAsia="宋体" w:cs="宋体"/>
          <w:sz w:val="24"/>
          <w:szCs w:val="24"/>
          <w:highlight w:val="none"/>
        </w:rPr>
        <w:t>如因乙方工作人员在履行</w:t>
      </w:r>
      <w:r>
        <w:rPr>
          <w:rFonts w:hint="eastAsia" w:ascii="宋体" w:hAnsi="宋体" w:eastAsia="宋体" w:cs="宋体"/>
          <w:sz w:val="24"/>
          <w:szCs w:val="24"/>
          <w:highlight w:val="none"/>
          <w:lang w:val="en-US" w:eastAsia="zh-CN"/>
        </w:rPr>
        <w:t>职责</w:t>
      </w:r>
      <w:r>
        <w:rPr>
          <w:rFonts w:hint="eastAsia" w:ascii="宋体" w:hAnsi="宋体" w:eastAsia="宋体" w:cs="宋体"/>
          <w:sz w:val="24"/>
          <w:szCs w:val="24"/>
          <w:highlight w:val="none"/>
        </w:rPr>
        <w:t>过程中的的疏忽、失职、过错等故意或者过失原因给甲方造成损失或侵害，包括但不限于甲方本身的财产损失、由此而导致的甲方对任何第三方的法律责任等，乙方对此均应承担全部的赔偿责任。</w:t>
      </w:r>
    </w:p>
    <w:p w14:paraId="7F03F11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（三）</w:t>
      </w: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val="en-US" w:eastAsia="zh-CN"/>
        </w:rPr>
        <w:t>在履约期间</w:t>
      </w:r>
      <w:r>
        <w:rPr>
          <w:rFonts w:hint="eastAsia" w:ascii="宋体" w:hAnsi="宋体" w:eastAsia="宋体" w:cs="宋体"/>
          <w:sz w:val="24"/>
          <w:szCs w:val="24"/>
          <w:highlight w:val="none"/>
          <w:lang w:eastAsia="zh-CN"/>
        </w:rPr>
        <w:t>的</w:t>
      </w:r>
      <w:r>
        <w:rPr>
          <w:rFonts w:hint="eastAsia" w:ascii="宋体" w:hAnsi="宋体" w:eastAsia="宋体" w:cs="宋体"/>
          <w:sz w:val="24"/>
          <w:szCs w:val="24"/>
          <w:highlight w:val="none"/>
        </w:rPr>
        <w:t>服务质量</w:t>
      </w:r>
      <w:r>
        <w:rPr>
          <w:rFonts w:hint="eastAsia" w:ascii="宋体" w:hAnsi="宋体" w:eastAsia="宋体" w:cs="宋体"/>
          <w:sz w:val="24"/>
          <w:szCs w:val="24"/>
          <w:highlight w:val="none"/>
          <w:lang w:val="en-US" w:eastAsia="zh-CN"/>
        </w:rPr>
        <w:t>标准及</w:t>
      </w:r>
      <w:r>
        <w:rPr>
          <w:rFonts w:hint="eastAsia" w:ascii="宋体" w:hAnsi="宋体" w:eastAsia="宋体" w:cs="宋体"/>
          <w:sz w:val="24"/>
          <w:szCs w:val="24"/>
          <w:highlight w:val="none"/>
        </w:rPr>
        <w:t>要求不能满足合同</w:t>
      </w:r>
      <w:r>
        <w:rPr>
          <w:rFonts w:hint="eastAsia" w:ascii="宋体" w:hAnsi="宋体" w:eastAsia="宋体" w:cs="宋体"/>
          <w:sz w:val="24"/>
          <w:szCs w:val="24"/>
          <w:highlight w:val="none"/>
          <w:lang w:val="en-US" w:eastAsia="zh-CN"/>
        </w:rPr>
        <w:t>约定</w:t>
      </w:r>
      <w:r>
        <w:rPr>
          <w:rFonts w:hint="eastAsia" w:ascii="宋体" w:hAnsi="宋体" w:eastAsia="宋体" w:cs="宋体"/>
          <w:sz w:val="24"/>
          <w:szCs w:val="24"/>
          <w:highlight w:val="none"/>
        </w:rPr>
        <w:t>，甲方应当将乙方违约的情况以及拟采取的措施以书面形式报政府采购监管部门，根据政府采购监管部门的处理意见，甲方有权依据《</w:t>
      </w:r>
      <w:r>
        <w:rPr>
          <w:rFonts w:hint="eastAsia" w:ascii="宋体" w:hAnsi="宋体" w:eastAsia="宋体" w:cs="宋体"/>
          <w:sz w:val="24"/>
          <w:szCs w:val="24"/>
          <w:highlight w:val="none"/>
          <w:lang w:val="en-US" w:eastAsia="zh-CN"/>
        </w:rPr>
        <w:t>中华人民共和国</w:t>
      </w:r>
      <w:r>
        <w:rPr>
          <w:rFonts w:hint="eastAsia" w:ascii="宋体" w:hAnsi="宋体" w:eastAsia="宋体" w:cs="宋体"/>
          <w:sz w:val="24"/>
          <w:szCs w:val="24"/>
          <w:highlight w:val="none"/>
        </w:rPr>
        <w:t>民法典》及合同有关条款终止合同，并要求乙方承担违约责任。</w:t>
      </w:r>
    </w:p>
    <w:p w14:paraId="27B90247">
      <w:pPr>
        <w:pStyle w:val="11"/>
        <w:keepNext w:val="0"/>
        <w:keepLines w:val="0"/>
        <w:pageBreakBefore w:val="0"/>
        <w:kinsoku/>
        <w:overflowPunct/>
        <w:topLinePunct w:val="0"/>
        <w:bidi w:val="0"/>
        <w:spacing w:line="360" w:lineRule="auto"/>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b w:val="0"/>
          <w:bCs w:val="0"/>
          <w:color w:val="auto"/>
          <w:kern w:val="2"/>
          <w:sz w:val="24"/>
          <w:szCs w:val="24"/>
          <w:highlight w:val="none"/>
          <w:lang w:val="en-US" w:eastAsia="zh-CN" w:bidi="ar-SA"/>
        </w:rPr>
        <w:t xml:space="preserve"> ......   </w:t>
      </w:r>
    </w:p>
    <w:p w14:paraId="21F50A8F">
      <w:pPr>
        <w:keepNext w:val="0"/>
        <w:keepLines w:val="0"/>
        <w:pageBreakBefore w:val="0"/>
        <w:kinsoku/>
        <w:overflowPunct/>
        <w:topLinePunct w:val="0"/>
        <w:bidi w:val="0"/>
        <w:snapToGrid w:val="0"/>
        <w:spacing w:line="360" w:lineRule="auto"/>
        <w:textAlignment w:val="auto"/>
        <w:outlineLvl w:val="1"/>
        <w:rPr>
          <w:rFonts w:hint="eastAsia" w:ascii="宋体" w:hAnsi="宋体" w:eastAsia="宋体" w:cs="宋体"/>
          <w:b/>
          <w:sz w:val="24"/>
          <w:szCs w:val="24"/>
          <w:highlight w:val="none"/>
          <w:lang w:val="en-US" w:eastAsia="zh-CN"/>
        </w:rPr>
      </w:pPr>
      <w:bookmarkStart w:id="46" w:name="_Toc1527"/>
      <w:bookmarkStart w:id="47" w:name="_Toc27612"/>
      <w:bookmarkStart w:id="48" w:name="_Toc15737"/>
      <w:bookmarkStart w:id="49" w:name="_Toc9359"/>
      <w:bookmarkStart w:id="50" w:name="_Toc12861"/>
      <w:bookmarkStart w:id="51" w:name="_Toc13719"/>
      <w:r>
        <w:rPr>
          <w:rFonts w:hint="eastAsia" w:ascii="宋体" w:hAnsi="宋体" w:eastAsia="宋体" w:cs="宋体"/>
          <w:b/>
          <w:sz w:val="24"/>
          <w:szCs w:val="24"/>
          <w:highlight w:val="none"/>
          <w:lang w:val="en-US" w:eastAsia="zh-CN"/>
        </w:rPr>
        <w:t>九</w:t>
      </w:r>
      <w:r>
        <w:rPr>
          <w:rFonts w:hint="eastAsia" w:ascii="宋体" w:hAnsi="宋体" w:eastAsia="宋体" w:cs="宋体"/>
          <w:b/>
          <w:sz w:val="24"/>
          <w:szCs w:val="24"/>
          <w:highlight w:val="none"/>
        </w:rPr>
        <w:t>、</w:t>
      </w:r>
      <w:bookmarkEnd w:id="46"/>
      <w:bookmarkEnd w:id="47"/>
      <w:bookmarkEnd w:id="48"/>
      <w:bookmarkEnd w:id="49"/>
      <w:bookmarkEnd w:id="50"/>
      <w:bookmarkEnd w:id="51"/>
      <w:r>
        <w:rPr>
          <w:rFonts w:hint="eastAsia" w:ascii="宋体" w:hAnsi="宋体" w:eastAsia="宋体" w:cs="宋体"/>
          <w:b/>
          <w:sz w:val="24"/>
          <w:szCs w:val="24"/>
          <w:highlight w:val="none"/>
          <w:lang w:val="en-US" w:eastAsia="zh-CN"/>
        </w:rPr>
        <w:t>解决争议的方法</w:t>
      </w:r>
    </w:p>
    <w:p w14:paraId="0D7C37AF">
      <w:pPr>
        <w:keepNext w:val="0"/>
        <w:keepLines w:val="0"/>
        <w:pageBreakBefore w:val="0"/>
        <w:kinsoku/>
        <w:wordWrap/>
        <w:overflowPunct/>
        <w:topLinePunct w:val="0"/>
        <w:autoSpaceDE/>
        <w:autoSpaceDN/>
        <w:bidi w:val="0"/>
        <w:snapToGrid/>
        <w:spacing w:line="360" w:lineRule="auto"/>
        <w:ind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（一）在执行本合同中发生的或与本合同有关的</w:t>
      </w:r>
      <w:r>
        <w:rPr>
          <w:rFonts w:hint="eastAsia" w:ascii="宋体" w:hAnsi="宋体" w:eastAsia="宋体" w:cs="宋体"/>
          <w:sz w:val="24"/>
          <w:szCs w:val="24"/>
          <w:highlight w:val="none"/>
          <w:lang w:val="en-US" w:eastAsia="zh-CN"/>
        </w:rPr>
        <w:t>争议</w:t>
      </w:r>
      <w:r>
        <w:rPr>
          <w:rFonts w:hint="eastAsia" w:ascii="宋体" w:hAnsi="宋体" w:eastAsia="宋体" w:cs="宋体"/>
          <w:sz w:val="24"/>
          <w:szCs w:val="24"/>
          <w:highlight w:val="none"/>
        </w:rPr>
        <w:t>，双方应友好协商解决</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协商</w:t>
      </w:r>
      <w:r>
        <w:rPr>
          <w:rFonts w:hint="eastAsia" w:ascii="宋体" w:hAnsi="宋体" w:eastAsia="宋体" w:cs="宋体"/>
          <w:sz w:val="24"/>
          <w:szCs w:val="24"/>
          <w:highlight w:val="none"/>
          <w:lang w:val="en-US" w:eastAsia="zh-CN"/>
        </w:rPr>
        <w:t>不成</w:t>
      </w:r>
      <w:r>
        <w:rPr>
          <w:rFonts w:hint="eastAsia" w:ascii="宋体" w:hAnsi="宋体" w:eastAsia="宋体" w:cs="宋体"/>
          <w:sz w:val="24"/>
          <w:szCs w:val="24"/>
          <w:highlight w:val="none"/>
        </w:rPr>
        <w:t>时，</w:t>
      </w:r>
      <w:r>
        <w:rPr>
          <w:rFonts w:hint="eastAsia" w:ascii="宋体" w:hAnsi="宋体" w:eastAsia="宋体" w:cs="宋体"/>
          <w:sz w:val="24"/>
          <w:szCs w:val="24"/>
          <w:highlight w:val="none"/>
          <w:lang w:val="en-US" w:eastAsia="zh-CN"/>
        </w:rPr>
        <w:t>任何一方均可</w:t>
      </w:r>
      <w:r>
        <w:rPr>
          <w:rFonts w:hint="eastAsia" w:ascii="宋体" w:hAnsi="宋体" w:eastAsia="宋体" w:cs="宋体"/>
          <w:sz w:val="24"/>
          <w:szCs w:val="24"/>
          <w:highlight w:val="none"/>
        </w:rPr>
        <w:t>向甲方所在地有管辖权的人民法院提起诉讼</w:t>
      </w:r>
      <w:r>
        <w:rPr>
          <w:rFonts w:hint="eastAsia" w:ascii="宋体" w:hAnsi="宋体" w:eastAsia="宋体" w:cs="宋体"/>
          <w:sz w:val="24"/>
          <w:szCs w:val="24"/>
          <w:highlight w:val="none"/>
          <w:lang w:eastAsia="zh-CN"/>
        </w:rPr>
        <w:t>。</w:t>
      </w:r>
    </w:p>
    <w:p w14:paraId="3A8BA612">
      <w:pPr>
        <w:pStyle w:val="11"/>
        <w:keepNext w:val="0"/>
        <w:keepLines w:val="0"/>
        <w:pageBreakBefore w:val="0"/>
        <w:kinsoku/>
        <w:overflowPunct/>
        <w:topLinePunct w:val="0"/>
        <w:bidi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b w:val="0"/>
          <w:bCs w:val="0"/>
          <w:color w:val="auto"/>
          <w:kern w:val="2"/>
          <w:sz w:val="24"/>
          <w:szCs w:val="24"/>
          <w:highlight w:val="none"/>
          <w:lang w:val="en-US" w:eastAsia="zh-CN" w:bidi="ar-SA"/>
        </w:rPr>
        <w:t xml:space="preserve"> ......   </w:t>
      </w:r>
    </w:p>
    <w:p w14:paraId="16493F55">
      <w:pPr>
        <w:pStyle w:val="7"/>
        <w:keepNext w:val="0"/>
        <w:keepLines w:val="0"/>
        <w:pageBreakBefore w:val="0"/>
        <w:numPr>
          <w:ilvl w:val="0"/>
          <w:numId w:val="0"/>
        </w:numPr>
        <w:kinsoku/>
        <w:overflowPunct/>
        <w:topLinePunct w:val="0"/>
        <w:bidi w:val="0"/>
        <w:spacing w:after="0" w:line="360" w:lineRule="auto"/>
        <w:ind w:left="0" w:leftChars="0" w:firstLine="0" w:firstLineChars="0"/>
        <w:textAlignment w:val="auto"/>
        <w:outlineLvl w:val="1"/>
        <w:rPr>
          <w:rFonts w:hint="eastAsia" w:ascii="宋体" w:hAnsi="宋体" w:eastAsia="宋体" w:cs="宋体"/>
          <w:b/>
          <w:kern w:val="2"/>
          <w:sz w:val="24"/>
          <w:szCs w:val="24"/>
          <w:highlight w:val="none"/>
          <w:lang w:val="en-US" w:eastAsia="zh-CN" w:bidi="ar-SA"/>
        </w:rPr>
      </w:pPr>
      <w:bookmarkStart w:id="52" w:name="_Toc29810"/>
      <w:bookmarkStart w:id="53" w:name="_Toc20262"/>
      <w:bookmarkStart w:id="54" w:name="_Toc22876"/>
      <w:bookmarkStart w:id="55" w:name="_Toc906"/>
      <w:bookmarkStart w:id="56" w:name="_Toc31233"/>
      <w:bookmarkStart w:id="57" w:name="_Toc23271"/>
      <w:r>
        <w:rPr>
          <w:rFonts w:hint="eastAsia" w:ascii="宋体" w:hAnsi="宋体" w:eastAsia="宋体" w:cs="宋体"/>
          <w:b/>
          <w:color w:val="auto"/>
          <w:kern w:val="2"/>
          <w:sz w:val="24"/>
          <w:szCs w:val="24"/>
          <w:highlight w:val="none"/>
          <w:lang w:val="en-US" w:eastAsia="zh-CN" w:bidi="ar-SA"/>
        </w:rPr>
        <w:t>十、</w:t>
      </w:r>
      <w:r>
        <w:rPr>
          <w:rFonts w:hint="eastAsia" w:ascii="宋体" w:hAnsi="宋体" w:eastAsia="宋体" w:cs="宋体"/>
          <w:b/>
          <w:kern w:val="2"/>
          <w:sz w:val="24"/>
          <w:szCs w:val="24"/>
          <w:highlight w:val="none"/>
          <w:lang w:val="en-US" w:eastAsia="zh-CN" w:bidi="ar-SA"/>
        </w:rPr>
        <w:t>其他事项</w:t>
      </w:r>
      <w:bookmarkEnd w:id="52"/>
      <w:bookmarkEnd w:id="53"/>
      <w:bookmarkEnd w:id="54"/>
      <w:bookmarkEnd w:id="55"/>
      <w:bookmarkEnd w:id="56"/>
      <w:bookmarkEnd w:id="57"/>
    </w:p>
    <w:p w14:paraId="61688953">
      <w:pPr>
        <w:keepNext w:val="0"/>
        <w:keepLines w:val="0"/>
        <w:pageBreakBefore w:val="0"/>
        <w:kinsoku/>
        <w:overflowPunct/>
        <w:topLinePunct w:val="0"/>
        <w:bidi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一）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01971E7">
      <w:pPr>
        <w:keepNext w:val="0"/>
        <w:keepLines w:val="0"/>
        <w:pageBreakBefore w:val="0"/>
        <w:kinsoku/>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（二）本合同所有附件、</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val="en-US" w:eastAsia="zh-CN"/>
        </w:rPr>
        <w:t>响应</w:t>
      </w:r>
      <w:r>
        <w:rPr>
          <w:rFonts w:hint="eastAsia" w:ascii="宋体" w:hAnsi="宋体" w:eastAsia="宋体" w:cs="宋体"/>
          <w:sz w:val="24"/>
          <w:szCs w:val="24"/>
          <w:highlight w:val="none"/>
        </w:rPr>
        <w:t>文件、</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通知书均为本合同的有效组成部分，与本合同具有同等法律效力。</w:t>
      </w:r>
    </w:p>
    <w:p w14:paraId="7C2249E5">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宋体" w:hAnsi="宋体" w:eastAsia="宋体" w:cs="宋体"/>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 ......                                       </w:t>
      </w:r>
      <w:r>
        <w:rPr>
          <w:rFonts w:hint="eastAsia" w:ascii="宋体" w:hAnsi="宋体" w:eastAsia="宋体" w:cs="宋体"/>
          <w:kern w:val="2"/>
          <w:sz w:val="24"/>
          <w:szCs w:val="24"/>
          <w:highlight w:val="none"/>
          <w:lang w:val="en-US" w:eastAsia="zh-CN" w:bidi="ar-SA"/>
        </w:rPr>
        <w:t xml:space="preserve">  </w:t>
      </w:r>
      <w:bookmarkStart w:id="58" w:name="_Toc12900"/>
      <w:bookmarkStart w:id="59" w:name="_Toc21375"/>
      <w:bookmarkStart w:id="60" w:name="_Toc11723"/>
      <w:bookmarkStart w:id="61" w:name="_Toc6722"/>
      <w:bookmarkStart w:id="62" w:name="_Toc12136"/>
      <w:bookmarkStart w:id="63" w:name="_Toc23239"/>
    </w:p>
    <w:p w14:paraId="1450E2EC">
      <w:pPr>
        <w:keepNext w:val="0"/>
        <w:keepLines w:val="0"/>
        <w:pageBreakBefore w:val="0"/>
        <w:kinsoku/>
        <w:overflowPunct/>
        <w:topLinePunct w:val="0"/>
        <w:autoSpaceDE w:val="0"/>
        <w:autoSpaceDN w:val="0"/>
        <w:bidi w:val="0"/>
        <w:snapToGrid w:val="0"/>
        <w:spacing w:line="360" w:lineRule="auto"/>
        <w:textAlignment w:val="auto"/>
        <w:outlineLvl w:val="1"/>
        <w:rPr>
          <w:rFonts w:hint="eastAsia" w:ascii="宋体" w:hAnsi="宋体" w:eastAsia="宋体" w:cs="宋体"/>
          <w:b/>
          <w:sz w:val="24"/>
          <w:szCs w:val="24"/>
          <w:highlight w:val="none"/>
        </w:rPr>
      </w:pPr>
      <w:r>
        <w:rPr>
          <w:rFonts w:hint="eastAsia" w:ascii="宋体" w:hAnsi="宋体" w:eastAsia="宋体" w:cs="宋体"/>
          <w:b/>
          <w:sz w:val="24"/>
          <w:szCs w:val="24"/>
          <w:highlight w:val="none"/>
        </w:rPr>
        <w:t>十</w:t>
      </w:r>
      <w:r>
        <w:rPr>
          <w:rFonts w:hint="eastAsia" w:ascii="宋体" w:hAnsi="宋体" w:eastAsia="宋体" w:cs="宋体"/>
          <w:b/>
          <w:sz w:val="24"/>
          <w:szCs w:val="24"/>
          <w:highlight w:val="none"/>
          <w:lang w:val="en-US" w:eastAsia="zh-CN"/>
        </w:rPr>
        <w:t>一</w:t>
      </w:r>
      <w:r>
        <w:rPr>
          <w:rFonts w:hint="eastAsia" w:ascii="宋体" w:hAnsi="宋体" w:eastAsia="宋体" w:cs="宋体"/>
          <w:b/>
          <w:sz w:val="24"/>
          <w:szCs w:val="24"/>
          <w:highlight w:val="none"/>
        </w:rPr>
        <w:t>、合同生效</w:t>
      </w:r>
      <w:bookmarkEnd w:id="58"/>
      <w:bookmarkEnd w:id="59"/>
      <w:bookmarkEnd w:id="60"/>
      <w:bookmarkEnd w:id="61"/>
      <w:bookmarkEnd w:id="62"/>
      <w:bookmarkEnd w:id="63"/>
    </w:p>
    <w:p w14:paraId="7BFB2959">
      <w:pPr>
        <w:keepNext w:val="0"/>
        <w:keepLines w:val="0"/>
        <w:pageBreakBefore w:val="0"/>
        <w:kinsoku/>
        <w:overflowPunct/>
        <w:topLinePunct w:val="0"/>
        <w:autoSpaceDE w:val="0"/>
        <w:autoSpaceDN w:val="0"/>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b w:val="0"/>
          <w:bCs w:val="0"/>
          <w:sz w:val="24"/>
          <w:szCs w:val="24"/>
          <w:highlight w:val="none"/>
        </w:rPr>
        <w:t>（一）</w:t>
      </w:r>
      <w:r>
        <w:rPr>
          <w:rFonts w:hint="eastAsia" w:ascii="宋体" w:hAnsi="宋体" w:eastAsia="宋体" w:cs="宋体"/>
          <w:sz w:val="24"/>
          <w:szCs w:val="24"/>
          <w:highlight w:val="none"/>
        </w:rPr>
        <w:t>本合同经甲、乙双方签字盖章后生效。</w:t>
      </w:r>
    </w:p>
    <w:p w14:paraId="662B7169">
      <w:pPr>
        <w:keepNext w:val="0"/>
        <w:keepLines w:val="0"/>
        <w:pageBreakBefore w:val="0"/>
        <w:kinsoku/>
        <w:overflowPunct/>
        <w:topLinePunct w:val="0"/>
        <w:autoSpaceDE w:val="0"/>
        <w:autoSpaceDN w:val="0"/>
        <w:bidi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（二）本合同一式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份，甲乙双方各执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p>
    <w:p w14:paraId="53BCD5D7">
      <w:pPr>
        <w:keepNext w:val="0"/>
        <w:keepLines w:val="0"/>
        <w:pageBreakBefore w:val="0"/>
        <w:widowControl/>
        <w:kinsoku/>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（三）本合同如有未尽事宜，甲、乙双方协商解决。</w:t>
      </w:r>
    </w:p>
    <w:p w14:paraId="0A67CC04">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7E02F43B">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3670669F">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57287E79">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甲方：（加盖公章或合同专用章）</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乙方：（加盖公章或合同专用章）</w:t>
      </w:r>
    </w:p>
    <w:p w14:paraId="4BD40ED9">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 xml:space="preserve">签字：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法定代表人或</w:t>
      </w:r>
      <w:r>
        <w:rPr>
          <w:rFonts w:hint="eastAsia" w:ascii="宋体" w:hAnsi="宋体" w:eastAsia="宋体" w:cs="宋体"/>
          <w:sz w:val="24"/>
          <w:szCs w:val="24"/>
          <w:highlight w:val="none"/>
          <w:lang w:val="en-US" w:eastAsia="zh-CN"/>
        </w:rPr>
        <w:t>被授权人</w:t>
      </w:r>
      <w:r>
        <w:rPr>
          <w:rFonts w:hint="eastAsia" w:ascii="宋体" w:hAnsi="宋体" w:eastAsia="宋体" w:cs="宋体"/>
          <w:sz w:val="24"/>
          <w:szCs w:val="24"/>
          <w:highlight w:val="none"/>
        </w:rPr>
        <w:t xml:space="preserve">签字： </w:t>
      </w:r>
    </w:p>
    <w:p w14:paraId="7A979DC0">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地 址： </w:t>
      </w:r>
    </w:p>
    <w:p w14:paraId="5F04788C">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电 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电 话： </w:t>
      </w:r>
    </w:p>
    <w:p w14:paraId="58EC7FE4">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联系人：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联系人： </w:t>
      </w:r>
    </w:p>
    <w:p w14:paraId="21B7572E">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开户银行：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开户银行： </w:t>
      </w:r>
    </w:p>
    <w:p w14:paraId="0DD835C2">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账户名称：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账户名称：</w:t>
      </w:r>
    </w:p>
    <w:p w14:paraId="23026AC7">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账 号：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账 号：</w:t>
      </w:r>
    </w:p>
    <w:p w14:paraId="6E45DCD5">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签定日期：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签定日期</w:t>
      </w:r>
    </w:p>
    <w:p w14:paraId="0B69B50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A4D58"/>
    <w:multiLevelType w:val="singleLevel"/>
    <w:tmpl w:val="64CA4D58"/>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475F6F"/>
    <w:rsid w:val="71475F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Arial" w:cs="Arial"/>
      <w:sz w:val="21"/>
      <w:szCs w:val="21"/>
      <w:lang w:val="en-US" w:eastAsia="en-US" w:bidi="ar-SA"/>
    </w:rPr>
  </w:style>
  <w:style w:type="paragraph" w:styleId="4">
    <w:name w:val="Plain Text"/>
    <w:basedOn w:val="1"/>
    <w:qFormat/>
    <w:uiPriority w:val="0"/>
    <w:rPr>
      <w:rFonts w:ascii="宋体"/>
    </w:rPr>
  </w:style>
  <w:style w:type="paragraph" w:styleId="5">
    <w:name w:val="Balloon Text"/>
    <w:basedOn w:val="1"/>
    <w:qFormat/>
    <w:uiPriority w:val="0"/>
    <w:rPr>
      <w:rFonts w:ascii="Times New Roman" w:hAnsi="Times New Roman" w:eastAsia="宋体"/>
      <w:sz w:val="18"/>
      <w:szCs w:val="18"/>
    </w:rPr>
  </w:style>
  <w:style w:type="paragraph" w:styleId="6">
    <w:name w:val="Body Text 2"/>
    <w:basedOn w:val="1"/>
    <w:qFormat/>
    <w:uiPriority w:val="0"/>
    <w:rPr>
      <w:rFonts w:eastAsia="宋体"/>
      <w:kern w:val="2"/>
      <w:sz w:val="30"/>
      <w:lang w:val="en-US" w:eastAsia="zh-CN"/>
    </w:rPr>
  </w:style>
  <w:style w:type="paragraph" w:styleId="7">
    <w:name w:val="Body Text First Indent"/>
    <w:basedOn w:val="3"/>
    <w:qFormat/>
    <w:uiPriority w:val="0"/>
    <w:pPr>
      <w:spacing w:line="360" w:lineRule="auto"/>
      <w:ind w:firstLine="420"/>
    </w:pPr>
    <w:rPr>
      <w:rFonts w:ascii="宋体" w:hAnsi="宋体"/>
      <w:sz w:val="24"/>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2025-03-20T04:53:00Z</dcterms:created>
  <dc:creator>晶.</dc:creator>
  <cp:lastModifiedBy>晶.</cp:lastModifiedBy>
  <dcterms:modified xsi:type="dcterms:W3CDTF">2025-03-20T04:55:57Z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49638864F8FD463690E38BA858092862_11</vt:lpwstr>
  </property>
  <property fmtid="{D5CDD505-2E9C-101B-9397-08002B2CF9AE}" pid="4" name="KSOTemplateDocerSaveRecord">
    <vt:lpwstr>eyJoZGlkIjoiMjFjNTUzYTc2MzBiNWI1ZDE0ZTBiZjJlZmMxODg1YWQiLCJ1c2VySWQiOiI0MzUwNzIzOTMifQ==</vt:lpwstr>
  </property>
</Properties>
</file>