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DF95B">
      <w:pPr>
        <w:pStyle w:val="3"/>
        <w:spacing w:before="0" w:after="0" w:line="460" w:lineRule="exact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合同条款</w:t>
      </w:r>
    </w:p>
    <w:p w14:paraId="53302453">
      <w:pPr>
        <w:spacing w:line="500" w:lineRule="exact"/>
        <w:ind w:right="-113" w:rightChars="-47" w:firstLine="422" w:firstLineChars="200"/>
        <w:jc w:val="center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采购合同</w:t>
      </w:r>
    </w:p>
    <w:p w14:paraId="6B7BB821">
      <w:pPr>
        <w:spacing w:line="500" w:lineRule="exact"/>
        <w:ind w:right="-113" w:rightChars="-47" w:firstLine="420" w:firstLineChars="200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（仅供参考，甲乙双方可协商修订）</w:t>
      </w:r>
    </w:p>
    <w:p w14:paraId="597D94C5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合同编号：</w:t>
      </w:r>
    </w:p>
    <w:p w14:paraId="1CEC77A1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买方：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（以下简称甲方）</w:t>
      </w:r>
    </w:p>
    <w:p w14:paraId="2F89B5B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卖方：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（以下简称乙方）</w:t>
      </w:r>
    </w:p>
    <w:p w14:paraId="528E8F2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甲方因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需要，就甲方向乙方购置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事宜，经双方经协商一致签订本合同。</w:t>
      </w:r>
    </w:p>
    <w:p w14:paraId="2870BFE4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一、供货范围及价款</w:t>
      </w:r>
    </w:p>
    <w:tbl>
      <w:tblPr>
        <w:tblStyle w:val="4"/>
        <w:tblW w:w="9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93"/>
        <w:gridCol w:w="994"/>
        <w:gridCol w:w="994"/>
        <w:gridCol w:w="994"/>
        <w:gridCol w:w="995"/>
        <w:gridCol w:w="994"/>
        <w:gridCol w:w="994"/>
        <w:gridCol w:w="994"/>
        <w:gridCol w:w="974"/>
      </w:tblGrid>
      <w:tr w14:paraId="30FBA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994" w:type="dxa"/>
            <w:noWrap w:val="0"/>
            <w:vAlign w:val="center"/>
          </w:tcPr>
          <w:p w14:paraId="369BAF25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993" w:type="dxa"/>
            <w:noWrap w:val="0"/>
            <w:vAlign w:val="center"/>
          </w:tcPr>
          <w:p w14:paraId="16729F67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名称</w:t>
            </w:r>
          </w:p>
        </w:tc>
        <w:tc>
          <w:tcPr>
            <w:tcW w:w="994" w:type="dxa"/>
            <w:noWrap w:val="0"/>
            <w:vAlign w:val="center"/>
          </w:tcPr>
          <w:p w14:paraId="194B2D35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品牌</w:t>
            </w:r>
          </w:p>
          <w:p w14:paraId="113FD485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规格</w:t>
            </w:r>
          </w:p>
          <w:p w14:paraId="69BD4439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型号</w:t>
            </w:r>
          </w:p>
        </w:tc>
        <w:tc>
          <w:tcPr>
            <w:tcW w:w="994" w:type="dxa"/>
            <w:noWrap w:val="0"/>
            <w:vAlign w:val="center"/>
          </w:tcPr>
          <w:p w14:paraId="31092F8C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单位</w:t>
            </w:r>
          </w:p>
        </w:tc>
        <w:tc>
          <w:tcPr>
            <w:tcW w:w="994" w:type="dxa"/>
            <w:noWrap w:val="0"/>
            <w:vAlign w:val="center"/>
          </w:tcPr>
          <w:p w14:paraId="363801A1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数量</w:t>
            </w:r>
          </w:p>
        </w:tc>
        <w:tc>
          <w:tcPr>
            <w:tcW w:w="995" w:type="dxa"/>
            <w:noWrap w:val="0"/>
            <w:vAlign w:val="center"/>
          </w:tcPr>
          <w:p w14:paraId="7832EC84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单价</w:t>
            </w:r>
          </w:p>
          <w:p w14:paraId="35FA5B2F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(元)</w:t>
            </w:r>
          </w:p>
        </w:tc>
        <w:tc>
          <w:tcPr>
            <w:tcW w:w="994" w:type="dxa"/>
            <w:noWrap w:val="0"/>
            <w:vAlign w:val="center"/>
          </w:tcPr>
          <w:p w14:paraId="334FEDC0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金额（元）</w:t>
            </w:r>
          </w:p>
        </w:tc>
        <w:tc>
          <w:tcPr>
            <w:tcW w:w="994" w:type="dxa"/>
            <w:noWrap w:val="0"/>
            <w:vAlign w:val="center"/>
          </w:tcPr>
          <w:p w14:paraId="7A4C943D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运杂费</w:t>
            </w:r>
          </w:p>
          <w:p w14:paraId="14344B95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（元）</w:t>
            </w:r>
          </w:p>
        </w:tc>
        <w:tc>
          <w:tcPr>
            <w:tcW w:w="994" w:type="dxa"/>
            <w:noWrap w:val="0"/>
            <w:vAlign w:val="center"/>
          </w:tcPr>
          <w:p w14:paraId="57250D38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合计</w:t>
            </w:r>
          </w:p>
          <w:p w14:paraId="07F3F29C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（元）</w:t>
            </w:r>
          </w:p>
        </w:tc>
        <w:tc>
          <w:tcPr>
            <w:tcW w:w="974" w:type="dxa"/>
            <w:noWrap w:val="0"/>
            <w:vAlign w:val="center"/>
          </w:tcPr>
          <w:p w14:paraId="6525921B">
            <w:pPr>
              <w:pStyle w:val="6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备注</w:t>
            </w:r>
          </w:p>
        </w:tc>
      </w:tr>
      <w:tr w14:paraId="2D298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94" w:type="dxa"/>
            <w:noWrap w:val="0"/>
            <w:vAlign w:val="center"/>
          </w:tcPr>
          <w:p w14:paraId="3D311028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0DF41307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491354BB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2622E124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4B28E2DD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5" w:type="dxa"/>
            <w:noWrap w:val="0"/>
            <w:vAlign w:val="center"/>
          </w:tcPr>
          <w:p w14:paraId="68FA2E25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03071550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79CECF5A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52003457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3395CF9B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30FB6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94" w:type="dxa"/>
            <w:noWrap w:val="0"/>
            <w:vAlign w:val="center"/>
          </w:tcPr>
          <w:p w14:paraId="6D838C45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659F12A7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59B9D1F4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109E3FF8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14CBB3C1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5" w:type="dxa"/>
            <w:noWrap w:val="0"/>
            <w:vAlign w:val="center"/>
          </w:tcPr>
          <w:p w14:paraId="04AD4C4F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66F69656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75FE6B80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2E84B80B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D8B0BD8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692B6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987" w:type="dxa"/>
            <w:gridSpan w:val="2"/>
            <w:noWrap w:val="0"/>
            <w:vAlign w:val="center"/>
          </w:tcPr>
          <w:p w14:paraId="517A24A2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合计</w:t>
            </w:r>
          </w:p>
        </w:tc>
        <w:tc>
          <w:tcPr>
            <w:tcW w:w="7933" w:type="dxa"/>
            <w:gridSpan w:val="8"/>
            <w:noWrap w:val="0"/>
            <w:vAlign w:val="center"/>
          </w:tcPr>
          <w:p w14:paraId="10F7D522">
            <w:pPr>
              <w:pStyle w:val="6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 w14:paraId="6640A2FB">
      <w:pPr>
        <w:pStyle w:val="6"/>
        <w:ind w:firstLine="0" w:firstLineChars="0"/>
        <w:rPr>
          <w:rFonts w:hint="eastAsia" w:ascii="宋体" w:hAnsi="宋体" w:cs="宋体"/>
          <w:sz w:val="21"/>
          <w:szCs w:val="21"/>
        </w:rPr>
      </w:pPr>
    </w:p>
    <w:p w14:paraId="668C6B44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2、本合同范围内所供货物总价款为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元（大写人民币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元整）</w:t>
      </w:r>
    </w:p>
    <w:p w14:paraId="535FAF63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二、随货资料</w:t>
      </w:r>
    </w:p>
    <w:p w14:paraId="37A7D81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1、乙方在交货时应向甲方提供一套交货清单、产品合格证等随货资料（如有），且提供的随货资料必须完整、真实，如无相关（应有）随货资料甲方将不予验收。</w:t>
      </w:r>
    </w:p>
    <w:p w14:paraId="44430235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三、合同单价调整</w:t>
      </w:r>
    </w:p>
    <w:p w14:paraId="170D751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（1）本合同总金额及单价不作调整。</w:t>
      </w:r>
    </w:p>
    <w:p w14:paraId="341BD472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四、本合同所供货物的交货时间、交货地点及交货验收</w:t>
      </w:r>
    </w:p>
    <w:p w14:paraId="4CE718DD">
      <w:pPr>
        <w:autoSpaceDN w:val="0"/>
        <w:adjustRightInd w:val="0"/>
        <w:spacing w:line="500" w:lineRule="exact"/>
        <w:ind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1、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服务期： </w:t>
      </w:r>
    </w:p>
    <w:p w14:paraId="7C18A82B">
      <w:pPr>
        <w:autoSpaceDN w:val="0"/>
        <w:adjustRightInd w:val="0"/>
        <w:spacing w:line="50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cs="宋体"/>
          <w:sz w:val="21"/>
          <w:szCs w:val="21"/>
        </w:rPr>
        <w:t>交货时间：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。</w:t>
      </w:r>
    </w:p>
    <w:p w14:paraId="457AB8C4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、交货地点：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西安市中心血站指定地点 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2F9447A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</w:rPr>
        <w:t>、交货验收： 乙方按甲方本合同指定的交货地点交货，并由甲方指定的收货人，与乙方交货人共同对货物进行质量及数量的交接，同时办理货物的移交验收手续，作为交货结算凭证。</w:t>
      </w:r>
    </w:p>
    <w:p w14:paraId="6E90970B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五、质量保证</w:t>
      </w:r>
    </w:p>
    <w:p w14:paraId="3C86994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1、乙方必须按照 《中华人民共和国产品质量法》和相关产品国家标准的规定提供合格的、全新的货物，其质量保证和产品规格必须符合本合同的规范。</w:t>
      </w:r>
    </w:p>
    <w:p w14:paraId="5541A5A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2、乙方应保证所供应的货物，在所有权移交给甲方指定的收货人时除符合上述第1款要求外，还应符合甲方质量要求。</w:t>
      </w:r>
    </w:p>
    <w:p w14:paraId="2D2C0E57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3、如果发现由于乙方责任造成任何货物缺损，或所交货物不符合其特性和规范要求，甲方有权根据本合同第八条的约定向乙方提出索赔。</w:t>
      </w:r>
    </w:p>
    <w:p w14:paraId="40EA465B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六、售后服务</w:t>
      </w:r>
    </w:p>
    <w:p w14:paraId="4C51C4D3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1、乙方应提供并按承诺的售后服务条款执行，乙方的售后服务承诺书（须乙方签字盖章）作为本合同附件，与本合同具有同等法律效力。</w:t>
      </w:r>
    </w:p>
    <w:p w14:paraId="28A630B7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七、货款结算与支付</w:t>
      </w:r>
    </w:p>
    <w:p w14:paraId="0BE992AD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1、本合同货款结算支付方式为：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 w:val="21"/>
          <w:szCs w:val="21"/>
        </w:rPr>
        <w:t>（根据双方约定的具体货款结算支付方式确定）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。</w:t>
      </w:r>
    </w:p>
    <w:p w14:paraId="0879328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2、若本合同履行过程中遇甲方资金紧张，乙方无条件接受甲方按合同约定付款期限适当延期付款。</w:t>
      </w:r>
    </w:p>
    <w:p w14:paraId="75A31ED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3、乙方在向甲方交货后、 办理货款结算支付前，必须向甲方提交所供货物的足额税务发票。乙方向甲方提交的票据必须符合国家税票管理的要求。</w:t>
      </w:r>
    </w:p>
    <w:p w14:paraId="2D954232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八、违约责任</w:t>
      </w:r>
    </w:p>
    <w:p w14:paraId="78BEC80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1、如果由于乙方的原因未能按照合同规定的交货期交货，乙方延迟交货7天以内（含七天）的，每天（不满1天按1天计算）按迟交货物价款的向甲方交付违约金，最高不超过合同总价的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。乙方支付迟延交货违约金并不解除乙方继续履行交货的义务。</w:t>
      </w:r>
    </w:p>
    <w:p w14:paraId="5C798464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乙方迟交货物达7天以上时，甲方有权解除本合同，并可对乙方已供货物按部分或全部退货处理。乙方无条件接受并承担由此而给甲方造成的一切费用和损失。</w:t>
      </w:r>
    </w:p>
    <w:p w14:paraId="481CB34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2、如果乙方所供货物在数量、品种规格等方面不符合国家标准和本合同规定，乙方应根据甲方书面通知要求按照以下方式处理：</w:t>
      </w:r>
    </w:p>
    <w:p w14:paraId="54DEEDAD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乙方负责用符合国家标准规定和甲方要求规格、质量和性能的新货物更换有缺陷的货物，并承担由此而发生更换费用及给甲方造成的一切损失（包括运杂费、检验费、仓储费、装卸费以及为更换有缺陷合同货物所造成的误工损失费等其他费用）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。</w:t>
      </w:r>
    </w:p>
    <w:p w14:paraId="7D1E219C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（2）乙方无条件接受甲方验收不合格货物的退货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（包括货物数量不符、货物型号不符、经检验货物存在质量缺陷、随货资料不全等），并由乙方承担由此给甲方造成的一切损失。</w:t>
      </w:r>
    </w:p>
    <w:p w14:paraId="332B39D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（3）乙方在收到甲方上述书面更换或退货通知后7天内未作出书面答复的，则应理解为乙方已接受甲方的通知要求。如收到甲方上述书面更换或退货通知后 7 天后 10 天内未按照甲方要求的上述任一方式来人（来函）处理相关事宜，则甲方有权确定单方解除合同，将乙方已供货物放置于甲方认为合理的位置，并理解为乙方已接收退货。由其而造成的货物毁损、灭失责任均由乙方承担，乙方同时应向甲方承担迟延交货的违约责任，并赔偿由此而给甲方造成的一切经济损失。</w:t>
      </w:r>
    </w:p>
    <w:p w14:paraId="772C179E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九、转让与分包</w:t>
      </w:r>
    </w:p>
    <w:p w14:paraId="57D6C99A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乙方未经甲方事先的书面同意，不得将合同履行义务全部或部分进行转让或分包。</w:t>
      </w:r>
    </w:p>
    <w:p w14:paraId="0A1D3D25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十、不可抗力</w:t>
      </w:r>
    </w:p>
    <w:p w14:paraId="6155D542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签约双方中的任何一方由于战争及严重的洪水、台风、地震、塌方等不可抗力事件而影响合同的执行时，应及时通知对方请求延迟相应受影响部分的履行期限，延迟的时间应相当于事件影响的时间。不可抗力事件系指双方在缔结合同时所不能预见的，并且它的发生及其后果是无法克服和无法避免的。</w:t>
      </w:r>
    </w:p>
    <w:p w14:paraId="22B41275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 对于本合同中未受不可抗力直接影响的其他义务，义务方应按合同继续履行。 如不可抗力事件延续到 10 天以上时， 双方可通过友好协商解决合同是否继续履行问题。</w:t>
      </w:r>
    </w:p>
    <w:p w14:paraId="45493192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十一、仲裁</w:t>
      </w:r>
    </w:p>
    <w:p w14:paraId="7F97C7B2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1、因执行本合同所发生的或与本合同有关的一切争议，双方应通过友好协商解决。如协商不成，任何一方可将争议提交本合同交货地 法院或仲裁委员会裁决。</w:t>
      </w:r>
    </w:p>
    <w:p w14:paraId="0FEAD9B9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2、在诉讼或仲裁期间，除提交裁决的争议事项外，甲方要求乙方仍继续履行合同的其他交货义务，乙方应无条件继续履行。</w:t>
      </w:r>
    </w:p>
    <w:p w14:paraId="2FCBC09B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十二、终止合同</w:t>
      </w:r>
    </w:p>
    <w:p w14:paraId="5A664426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1、合同各项条款按约定履行完毕。</w:t>
      </w:r>
    </w:p>
    <w:p w14:paraId="70E7F089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2、因乙方违约，甲方按本合同第八条的约定通知乙方终止合同。</w:t>
      </w:r>
    </w:p>
    <w:p w14:paraId="4B0B5225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3、因情势变更（如甲方所购产品因客户取消订单取消）导致本合同甲方所购货物失去实际意义时，甲方应及时通知乙方协商办理相应的合同结算及终止事宜。对此双方均不属违约。</w:t>
      </w:r>
    </w:p>
    <w:p w14:paraId="564F835E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十三、其他</w:t>
      </w:r>
    </w:p>
    <w:p w14:paraId="6A3A164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1、本合同由双方法人或法人授权代表签字盖章后生效。</w:t>
      </w:r>
    </w:p>
    <w:p w14:paraId="6C3219B9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2、本合同一式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份，甲乙双方各持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份。</w:t>
      </w:r>
    </w:p>
    <w:p w14:paraId="737C5034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3、本合同若有变更双方均应以书面形式通知对方，并形成书面补充协议作为本合同附件，与本合同具备同等法律效力。</w:t>
      </w:r>
    </w:p>
    <w:p w14:paraId="4FB9A16C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</w:p>
    <w:p w14:paraId="01031CB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甲方（盖章）：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乙方（盖章）：</w:t>
      </w:r>
    </w:p>
    <w:p w14:paraId="64847DA5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法人代表：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法人代表：</w:t>
      </w:r>
    </w:p>
    <w:p w14:paraId="09640D21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授权代表：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授权代表：</w:t>
      </w:r>
    </w:p>
    <w:p w14:paraId="6EF36543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时间：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年   月  日                      时间：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日</w:t>
      </w:r>
    </w:p>
    <w:p w14:paraId="54D68C3A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地址：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        地址：</w:t>
      </w:r>
    </w:p>
    <w:p w14:paraId="2998F1CC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电话：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        电话：</w:t>
      </w:r>
    </w:p>
    <w:p w14:paraId="2F83BE19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传真：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   传真：</w:t>
      </w:r>
    </w:p>
    <w:p w14:paraId="1567122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</w:p>
    <w:p w14:paraId="40C1390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签约地点：</w:t>
      </w:r>
    </w:p>
    <w:p w14:paraId="03624EE5"/>
    <w:p w14:paraId="75E495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26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6" w:lineRule="auto"/>
      <w:ind w:left="0" w:right="0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 w:eastAsia="宋体" w:cs="Times New Roman"/>
      <w:b/>
      <w:spacing w:val="20"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2025-03-28T09:42:47Z</dcterms:created>
  <dc:creator>Administrator</dc:creator>
  <cp:lastModifiedBy>魏航</cp:lastModifiedBy>
  <dcterms:modified xsi:type="dcterms:W3CDTF">2025-03-28T09:42:55Z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eyJoZGlkIjoiNjU1YWYzNjMxY2UwMWY3MDg0MDIxNjMwZDg3MGVjYzkiLCJ1c2VySWQiOiIyNDQ0NTU3OTIifQ==</vt:lpwstr>
  </property>
  <property fmtid="{D5CDD505-2E9C-101B-9397-08002B2CF9AE}" pid="4" name="ICV">
    <vt:lpwstr>D9E774E0F96B41788115641C7C414410_12</vt:lpwstr>
  </property>
</Properties>
</file>