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版本号：GR25-CS-01720250401001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打传工作服务外包项目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GR25-CS-017</w:t>
      </w:r>
      <w:r>
        <w:br/>
      </w:r>
      <w:r>
        <w:br/>
      </w:r>
      <w:r>
        <w:br/>
      </w:r>
    </w:p>
    <w:p>
      <w:pPr>
        <w:pStyle w:val="null3"/>
        <w:jc w:val="center"/>
        <w:outlineLvl w:val="2"/>
      </w:pPr>
      <w:r>
        <w:rPr>
          <w:rFonts w:ascii="仿宋_GB2312" w:hAnsi="仿宋_GB2312" w:cs="仿宋_GB2312" w:eastAsia="仿宋_GB2312"/>
          <w:sz w:val="28"/>
          <w:b/>
        </w:rPr>
        <w:t>西安市市场监督管理局浐灞国际港分局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打传工作服务外包项目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打传工作服务外包项目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本项目为西安市市场监督管理局浐灞国际港分局打传工作服务外包项目。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采购包1（打传工作服务外包项目）：属于专门面向中小企业采购。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029-88087920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西安市新城区龙首北路东段大明宫圣元广场A座8001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地址：西安市新城区龙首北路东段大明宫圣元广场A座8001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本项目为西安市市场监督管理局浐灞国际港分局打传工作服务外包项目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打传工作服务外包项目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标的名称：打传工作服务外包项目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采购内容</w:t>
            </w:r>
          </w:p>
          <w:p>
            <w:pPr>
              <w:pStyle w:val="null3"/>
              <w:ind w:firstLine="640"/>
              <w:jc w:val="both"/>
            </w:pPr>
            <w:r>
              <w:rPr>
                <w:rFonts w:ascii="仿宋_GB2312" w:hAnsi="仿宋_GB2312" w:cs="仿宋_GB2312" w:eastAsia="仿宋_GB2312"/>
                <w:sz w:val="32"/>
              </w:rPr>
              <w:t>西安市市场监督管理局浐灞国际港分局为更好地开展打击传销工作，需将打击传销辅助性工作服务外包，服务期限：</w:t>
            </w:r>
            <w:r>
              <w:rPr>
                <w:rFonts w:ascii="仿宋_GB2312" w:hAnsi="仿宋_GB2312" w:cs="仿宋_GB2312" w:eastAsia="仿宋_GB2312"/>
                <w:sz w:val="32"/>
              </w:rPr>
              <w:t>签订合同之日起</w:t>
            </w:r>
            <w:r>
              <w:rPr>
                <w:rFonts w:ascii="仿宋_GB2312" w:hAnsi="仿宋_GB2312" w:cs="仿宋_GB2312" w:eastAsia="仿宋_GB2312"/>
                <w:sz w:val="32"/>
              </w:rPr>
              <w:t>1年</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二、服务团队要求</w:t>
            </w:r>
          </w:p>
          <w:p>
            <w:pPr>
              <w:pStyle w:val="null3"/>
              <w:ind w:firstLine="640"/>
              <w:jc w:val="both"/>
            </w:pPr>
            <w:r>
              <w:rPr>
                <w:rFonts w:ascii="仿宋_GB2312" w:hAnsi="仿宋_GB2312" w:cs="仿宋_GB2312" w:eastAsia="仿宋_GB2312"/>
                <w:sz w:val="32"/>
              </w:rPr>
              <w:t>1.为保证本项工作顺利实施，服务团队应不低于4人，有为政府部门提供过服务外包工作经验的优先考虑；</w:t>
            </w:r>
          </w:p>
          <w:p>
            <w:pPr>
              <w:pStyle w:val="null3"/>
              <w:ind w:firstLine="640"/>
              <w:jc w:val="both"/>
            </w:pPr>
            <w:r>
              <w:rPr>
                <w:rFonts w:ascii="仿宋_GB2312" w:hAnsi="仿宋_GB2312" w:cs="仿宋_GB2312" w:eastAsia="仿宋_GB2312"/>
                <w:sz w:val="32"/>
              </w:rPr>
              <w:t>2.服务团队成员须具有中华人民共和国国籍，身体健康，无不良嗜好，具备正常履行工作任务的身心条件；</w:t>
            </w:r>
          </w:p>
          <w:p>
            <w:pPr>
              <w:pStyle w:val="null3"/>
              <w:ind w:firstLine="640"/>
              <w:jc w:val="both"/>
            </w:pPr>
            <w:r>
              <w:rPr>
                <w:rFonts w:ascii="仿宋_GB2312" w:hAnsi="仿宋_GB2312" w:cs="仿宋_GB2312" w:eastAsia="仿宋_GB2312"/>
                <w:sz w:val="32"/>
              </w:rPr>
              <w:t>3.服务团队成员要熟练掌握各类办公自动化软件，有一定的学习能力、文字能力、沟通能力、协调能力和分析解决问题能力；</w:t>
            </w:r>
          </w:p>
          <w:p>
            <w:pPr>
              <w:pStyle w:val="null3"/>
              <w:ind w:firstLine="640"/>
              <w:jc w:val="both"/>
            </w:pPr>
            <w:r>
              <w:rPr>
                <w:rFonts w:ascii="仿宋_GB2312" w:hAnsi="仿宋_GB2312" w:cs="仿宋_GB2312" w:eastAsia="仿宋_GB2312"/>
                <w:sz w:val="32"/>
              </w:rPr>
              <w:t>4.服务团队成员要诚实守信、认真细致、有责任心、执行力强，要具备团队意识、大局意识，听从指挥、服从安排，能够遵守各项工作纪律，无违法犯罪记录。</w:t>
            </w:r>
          </w:p>
          <w:p>
            <w:pPr>
              <w:pStyle w:val="null3"/>
              <w:ind w:firstLine="643"/>
            </w:pPr>
            <w:r>
              <w:rPr>
                <w:rFonts w:ascii="仿宋_GB2312" w:hAnsi="仿宋_GB2312" w:cs="仿宋_GB2312" w:eastAsia="仿宋_GB2312"/>
                <w:sz w:val="32"/>
                <w:b/>
                <w:color w:val="424242"/>
                <w:shd w:fill="FFFFFF" w:val="clear"/>
              </w:rPr>
              <w:t>三、具体工作内容</w:t>
            </w:r>
          </w:p>
          <w:p>
            <w:pPr>
              <w:pStyle w:val="null3"/>
              <w:ind w:firstLine="640"/>
            </w:pPr>
            <w:r>
              <w:rPr>
                <w:rFonts w:ascii="仿宋_GB2312" w:hAnsi="仿宋_GB2312" w:cs="仿宋_GB2312" w:eastAsia="仿宋_GB2312"/>
                <w:sz w:val="32"/>
                <w:color w:val="424242"/>
                <w:shd w:fill="FFFFFF" w:val="clear"/>
              </w:rPr>
              <w:t>1.对西安市市场监督管理局浐灞国际港分局管辖区域内的所有小区、城中村，以及其他区域持续进行走访摸排，并按照属地市场监管所管辖范围分别建立涉传小区、城中村和其他区域台账，实行动态管理；</w:t>
            </w:r>
          </w:p>
          <w:p>
            <w:pPr>
              <w:pStyle w:val="null3"/>
              <w:ind w:firstLine="640"/>
            </w:pPr>
            <w:r>
              <w:rPr>
                <w:rFonts w:ascii="仿宋_GB2312" w:hAnsi="仿宋_GB2312" w:cs="仿宋_GB2312" w:eastAsia="仿宋_GB2312"/>
                <w:sz w:val="32"/>
                <w:color w:val="424242"/>
                <w:shd w:fill="FFFFFF" w:val="clear"/>
              </w:rPr>
              <w:t>2.在前项工作基础之上，重点对所有涉传小区和城中村中具体的涉传房屋信息持续进行走访摸排，并按照属地市场监管所管辖范围分别建立涉传房屋台账，实行动态管理；</w:t>
            </w:r>
          </w:p>
          <w:p>
            <w:pPr>
              <w:pStyle w:val="null3"/>
              <w:ind w:firstLine="640"/>
            </w:pPr>
            <w:r>
              <w:rPr>
                <w:rFonts w:ascii="仿宋_GB2312" w:hAnsi="仿宋_GB2312" w:cs="仿宋_GB2312" w:eastAsia="仿宋_GB2312"/>
                <w:sz w:val="32"/>
                <w:color w:val="424242"/>
                <w:shd w:fill="FFFFFF" w:val="clear"/>
              </w:rPr>
              <w:t>3.协助配合属地市场监管所开展打击传销行动，按照要求对涉传房屋和涉传人员信息进行详细登记，并按照属地市场监管所管辖范围分别建立涉传人员台账，实行动态管理；</w:t>
            </w:r>
          </w:p>
          <w:p>
            <w:pPr>
              <w:pStyle w:val="null3"/>
              <w:ind w:firstLine="640"/>
              <w:jc w:val="both"/>
            </w:pPr>
            <w:r>
              <w:rPr>
                <w:rFonts w:ascii="仿宋_GB2312" w:hAnsi="仿宋_GB2312" w:cs="仿宋_GB2312" w:eastAsia="仿宋_GB2312"/>
                <w:sz w:val="32"/>
                <w:color w:val="424242"/>
                <w:shd w:fill="FFFFFF" w:val="clear"/>
              </w:rPr>
              <w:t>4.根据登记的涉传人员台账，及时向涉传人员户籍所在地邮寄《致传销人员户籍地基层组织的一封信》，并做好记录；</w:t>
            </w:r>
          </w:p>
          <w:p>
            <w:pPr>
              <w:pStyle w:val="null3"/>
              <w:ind w:firstLine="640"/>
              <w:jc w:val="both"/>
            </w:pPr>
            <w:r>
              <w:rPr>
                <w:rFonts w:ascii="仿宋_GB2312" w:hAnsi="仿宋_GB2312" w:cs="仿宋_GB2312" w:eastAsia="仿宋_GB2312"/>
                <w:sz w:val="32"/>
                <w:color w:val="424242"/>
                <w:shd w:fill="FFFFFF" w:val="clear"/>
              </w:rPr>
              <w:t>5.对分局每月涉传举报情况进行统计、分析，并将结果反馈分局相关业务科室；</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32"/>
              </w:rPr>
              <w:t>6.</w:t>
            </w:r>
            <w:r>
              <w:rPr>
                <w:rFonts w:ascii="仿宋_GB2312" w:hAnsi="仿宋_GB2312" w:cs="仿宋_GB2312" w:eastAsia="仿宋_GB2312"/>
                <w:sz w:val="32"/>
                <w:color w:val="424242"/>
              </w:rPr>
              <w:t>按照属地市场监管所管辖范围分别</w:t>
            </w:r>
            <w:r>
              <w:rPr>
                <w:rFonts w:ascii="仿宋_GB2312" w:hAnsi="仿宋_GB2312" w:cs="仿宋_GB2312" w:eastAsia="仿宋_GB2312"/>
                <w:sz w:val="32"/>
              </w:rPr>
              <w:t>组织开展形式多样的打击传销宣传活动，每个所每季度宣传活动不少于一次；</w:t>
            </w:r>
          </w:p>
          <w:p>
            <w:pPr>
              <w:pStyle w:val="null3"/>
              <w:ind w:firstLine="640"/>
              <w:jc w:val="both"/>
            </w:pPr>
            <w:r>
              <w:rPr>
                <w:rFonts w:ascii="仿宋_GB2312" w:hAnsi="仿宋_GB2312" w:cs="仿宋_GB2312" w:eastAsia="仿宋_GB2312"/>
                <w:sz w:val="32"/>
              </w:rPr>
              <w:t>7. 根据打击传销工作需要，完成分局临时安排的打击传销相关工作。</w:t>
            </w:r>
          </w:p>
          <w:p>
            <w:pPr>
              <w:pStyle w:val="null3"/>
              <w:ind w:firstLine="640"/>
              <w:jc w:val="both"/>
            </w:pPr>
            <w:r>
              <w:rPr>
                <w:rFonts w:ascii="仿宋_GB2312" w:hAnsi="仿宋_GB2312" w:cs="仿宋_GB2312" w:eastAsia="仿宋_GB2312"/>
                <w:sz w:val="32"/>
              </w:rPr>
              <w:t>8. 保质保量完成上述工作，及时收集、规范整理上述工作产生的相关资料，按时汇总、总结、上报，并接受分局考核。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合同签订后10个工作日内，根据甲方财务要求，向甲方提交正式税务发票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服务六个月后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全部服务内容完成后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供应商针对本项目采购内容及要求，提供完善的服务方案、根据其方案内容、工作分工、服务计划等方面进行综合赋分。 1)方案内容分析全面、合理，规范，分工明确，服务计划合理，得(10-15]分: 2)实施方案内容一般，分工较合理，合理性一般，得(5-10]分; 3)方案内容欠缺、分工模糊，合理性较差，得[1-5]分。未提供的不计分。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服务质量方案及措施</w:t>
            </w:r>
          </w:p>
        </w:tc>
        <w:tc>
          <w:tcPr>
            <w:tcW w:type="dxa" w:w="2492"/>
          </w:tcPr>
          <w:p>
            <w:pPr>
              <w:pStyle w:val="null3"/>
            </w:pPr>
            <w:r>
              <w:rPr>
                <w:rFonts w:ascii="仿宋_GB2312" w:hAnsi="仿宋_GB2312" w:cs="仿宋_GB2312" w:eastAsia="仿宋_GB2312"/>
              </w:rPr>
              <w:t>供应商针对本项目的服务质量承诺(包括但不限于服务质量承诺、服务期限、合同签订后项目实施、工作配合保障等方面)，承诺内容应包含不能完全履行承诺时愿意接受认罚等进行综合赋分。 1)承诺方案内容详细，方案可行性较强，得(10-15]分; 2)承诺方案内容较详细，方案可行性满足项目需求，得(5-10]分; 3)承诺方案内容较一般，合理性低很难满足，得[1-5]分。 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项目管理机构配备，服务人员的配置及综合素质是否满足磋商文件要求，根据其配备的合理性进行赋分。 1)组织架构清晰、分工明确、工作经验丰富，得(7-10]分; 2)组织结构较为清晰、岗位分工较为明确、工作经验较为丰富，得(3-7]分； 3)组织结构混乱、岗位分工不明确、工作经历较少，得[1-3]分。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项目人员管理制度</w:t>
            </w:r>
          </w:p>
        </w:tc>
        <w:tc>
          <w:tcPr>
            <w:tcW w:type="dxa" w:w="2492"/>
          </w:tcPr>
          <w:p>
            <w:pPr>
              <w:pStyle w:val="null3"/>
            </w:pPr>
            <w:r>
              <w:rPr>
                <w:rFonts w:ascii="仿宋_GB2312" w:hAnsi="仿宋_GB2312" w:cs="仿宋_GB2312" w:eastAsia="仿宋_GB2312"/>
              </w:rPr>
              <w:t>根据供应商企业情况(包括不限于服务标准、人员招聘制度、人员储备方案人员补给、调配制度、内部管理制度、内部考核制度等)，由磋商小组进行综合评审。 1)管理制度健全，架构合理，业务流程规范成熟得(7-10]分; 2)管理制度较完善，架构较合理，业务流程较规范得(3-7]分; 3)管理制度简单，业务流程较为生疏得[1-3]分。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档案资料管理和移交工作制度</w:t>
            </w:r>
          </w:p>
        </w:tc>
        <w:tc>
          <w:tcPr>
            <w:tcW w:type="dxa" w:w="2492"/>
          </w:tcPr>
          <w:p>
            <w:pPr>
              <w:pStyle w:val="null3"/>
            </w:pPr>
            <w:r>
              <w:rPr>
                <w:rFonts w:ascii="仿宋_GB2312" w:hAnsi="仿宋_GB2312" w:cs="仿宋_GB2312" w:eastAsia="仿宋_GB2312"/>
              </w:rPr>
              <w:t>供应商针对本项目提供完善的档案资料管理和移交工作制度。 1)管理制度内容描述全面，规范，可行性强，得(7-10]分; 2)管理制度内容描述相对全面、有一定的可行性，得(3-7]分; 3)管理制度内容描述基本全面、可行性一般，得[1-3]分;未提供的不计分。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针对本项目在服务过程中可能出现的突发状况、突发事故等具有应急预案及保证措施，根据其方案的科学合理性进行综合赋分。 1)应急处理方案内容详细，突发事件响应时间短、故障处理迅速，方案可行性较强，得(7-10]分; 2)应急处理方案内容较详细，突发事件响应时间短、故障处理迅速，方案可操作性基本满足该项目，得(3-7]分; 3)应急处理方案内容较一般，突发事件响应处理耗时长，方案不完整合理性低很难满足，得[1-3]分。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供应商根据采购需求对拟投入项目人员进行专业化培训，有完善的服务业务培训管理制度，提供较好的理论与实战相结合的培训内容。 1)方案内容全面详细，方案可行性较强，得(7-10]分; 2)方案内容相对全面较详细，方案可行性满足项目需求，得(3-7]分; 3)方案内容简单、笼统，合理性差，得[1-3]分。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供应商提供自2021年4月1日至今类似项目业绩，每份计2分，最高计10分。（以合同签订日期为准）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