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1B231">
      <w:pPr>
        <w:pStyle w:val="3"/>
        <w:shd w:val="clear"/>
        <w:bidi w:val="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zh-CN"/>
        </w:rPr>
        <w:t>第一次磋商报价表</w:t>
      </w:r>
    </w:p>
    <w:tbl>
      <w:tblPr>
        <w:tblStyle w:val="4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29A31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noWrap/>
            <w:vAlign w:val="center"/>
          </w:tcPr>
          <w:p w14:paraId="15F527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66E99D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D5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noWrap/>
            <w:vAlign w:val="center"/>
          </w:tcPr>
          <w:p w14:paraId="09EF0A3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2C1CB5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1A2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7" w:type="dxa"/>
            <w:noWrap/>
            <w:vAlign w:val="center"/>
          </w:tcPr>
          <w:p w14:paraId="7CBF63B5">
            <w:pPr>
              <w:widowControl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磋商总报价</w:t>
            </w:r>
          </w:p>
          <w:p w14:paraId="7CCFEAE5">
            <w:pPr>
              <w:widowControl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（元）</w:t>
            </w:r>
          </w:p>
        </w:tc>
        <w:tc>
          <w:tcPr>
            <w:tcW w:w="6488" w:type="dxa"/>
            <w:noWrap/>
            <w:vAlign w:val="center"/>
          </w:tcPr>
          <w:p w14:paraId="55905D39">
            <w:pPr>
              <w:widowControl/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  <w:p w14:paraId="43137275">
            <w:pPr>
              <w:widowControl/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大写：</w:t>
            </w:r>
          </w:p>
          <w:p w14:paraId="1613FEC0">
            <w:pPr>
              <w:widowControl/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小写：</w:t>
            </w:r>
          </w:p>
          <w:p w14:paraId="2A49BECE">
            <w:pPr>
              <w:widowControl/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75593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noWrap/>
            <w:vAlign w:val="center"/>
          </w:tcPr>
          <w:p w14:paraId="7288239C">
            <w:pPr>
              <w:widowControl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期限</w:t>
            </w:r>
          </w:p>
        </w:tc>
        <w:tc>
          <w:tcPr>
            <w:tcW w:w="6488" w:type="dxa"/>
            <w:noWrap/>
            <w:vAlign w:val="center"/>
          </w:tcPr>
          <w:p w14:paraId="5E697D75">
            <w:pPr>
              <w:widowControl/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</w:tbl>
    <w:p w14:paraId="3E179132">
      <w:pPr>
        <w:widowControl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说明：</w:t>
      </w:r>
    </w:p>
    <w:p w14:paraId="0826FBB8">
      <w:pPr>
        <w:widowControl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1.本表所列各项数据与</w:t>
      </w:r>
      <w:r>
        <w:rPr>
          <w:rFonts w:hint="eastAsia" w:ascii="仿宋" w:hAnsi="仿宋" w:cs="仿宋"/>
          <w:bCs/>
          <w:kern w:val="0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文件其它地方表述不一致时，以本表为准。</w:t>
      </w:r>
    </w:p>
    <w:p w14:paraId="5A0EB5A7">
      <w:pPr>
        <w:widowControl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2.</w:t>
      </w:r>
      <w:r>
        <w:rPr>
          <w:rFonts w:hint="eastAsia" w:ascii="仿宋" w:hAnsi="仿宋" w:cs="仿宋"/>
          <w:bCs/>
          <w:kern w:val="0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总报价以元为单位，四舍五入精确到小数点后两位。</w:t>
      </w:r>
    </w:p>
    <w:p w14:paraId="75381A5F">
      <w:pPr>
        <w:widowControl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3.</w:t>
      </w:r>
      <w:r>
        <w:rPr>
          <w:rFonts w:hint="eastAsia" w:ascii="仿宋" w:hAnsi="仿宋" w:cs="仿宋"/>
          <w:bCs/>
          <w:kern w:val="0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总报价应与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  <w:lang w:eastAsia="zh-CN"/>
        </w:rPr>
        <w:t>费用组成明细表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中合计金额一致。</w:t>
      </w:r>
    </w:p>
    <w:p w14:paraId="7CB6D337">
      <w:pPr>
        <w:widowControl/>
        <w:shd w:val="clear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</w:p>
    <w:p w14:paraId="71D8F844">
      <w:pPr>
        <w:shd w:val="clear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</w:p>
    <w:p w14:paraId="12F1ACC2">
      <w:pPr>
        <w:shd w:val="clear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0818D36A">
      <w:pPr>
        <w:shd w:val="clear"/>
        <w:ind w:firstLine="3840" w:firstLineChars="1600"/>
        <w:rPr>
          <w:rFonts w:hint="eastAsia" w:ascii="仿宋" w:hAnsi="仿宋" w:eastAsia="仿宋" w:cs="仿宋"/>
          <w:sz w:val="20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2BF7CB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40783C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