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版本号：CTSD2025-FW-00720250311001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210国道西安过境下大寨至侯官寨公路工程三线迁改方案工程技术与造价咨询服务（补充）</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CTSD2025-FW-007</w:t>
      </w:r>
      <w:r>
        <w:br/>
      </w:r>
      <w:r>
        <w:br/>
      </w:r>
      <w:r>
        <w:br/>
      </w:r>
    </w:p>
    <w:p>
      <w:pPr>
        <w:pStyle w:val="null3"/>
        <w:jc w:val="center"/>
        <w:outlineLvl w:val="2"/>
      </w:pPr>
      <w:r>
        <w:rPr>
          <w:rFonts w:ascii="仿宋_GB2312" w:hAnsi="仿宋_GB2312" w:cs="仿宋_GB2312" w:eastAsia="仿宋_GB2312"/>
          <w:sz w:val="28"/>
          <w:b/>
        </w:rPr>
        <w:t>西安市公路工程管理处</w:t>
      </w:r>
    </w:p>
    <w:p>
      <w:pPr>
        <w:pStyle w:val="null3"/>
        <w:jc w:val="center"/>
        <w:outlineLvl w:val="2"/>
      </w:pPr>
      <w:r>
        <w:rPr>
          <w:rFonts w:ascii="仿宋_GB2312" w:hAnsi="仿宋_GB2312" w:cs="仿宋_GB2312" w:eastAsia="仿宋_GB2312"/>
          <w:sz w:val="28"/>
          <w:b/>
        </w:rPr>
        <w:t>城投时代（陕西）项目管理有限公司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城投时代（陕西）项目管理有限公司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西安市公路工程管理处</w:t>
      </w:r>
      <w:r>
        <w:rPr>
          <w:rFonts w:ascii="仿宋_GB2312" w:hAnsi="仿宋_GB2312" w:cs="仿宋_GB2312" w:eastAsia="仿宋_GB2312"/>
        </w:rPr>
        <w:t>委托，拟对</w:t>
      </w:r>
      <w:r>
        <w:rPr>
          <w:rFonts w:ascii="仿宋_GB2312" w:hAnsi="仿宋_GB2312" w:cs="仿宋_GB2312" w:eastAsia="仿宋_GB2312"/>
        </w:rPr>
        <w:t>210国道西安过境下大寨至侯官寨公路工程三线迁改方案工程技术与造价咨询服务（补充）</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CTSD2025-FW-007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210国道西安过境下大寨至侯官寨公路工程三线迁改方案工程技术与造价咨询服务（补充）</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210国道西安过境下大寨至侯官寨公路路线起于西安市高陵区西关村，经塬陶村、西泉街道、邵平店、岳家沟、神峪寺沟、鸣犊街道，止于西安市长安区侯官寨村。全线采用双向六车道一级公路技术标准，设计速度80公里/小时。本合同服务范围为项目K23+020～ K33+000段。本项目工程建设时需迁改影响工程施工的通信(移动、联通、电信、广电、长线、军缆、通信管道公司等)、电力(西安市供电公司、区县供电公司)、管道(天然气、热力、给排水等)等线路和设施，涉及的迁改工程点多、面广且专业性强，为了控制迁改补偿费用、规范程序流程，需委托第三方造价咨询公司进行专业咨询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采购包1（210国道西安过境下大寨至侯官寨公路工程三线迁改方案工程技术与造价咨询服务(补充)）：属于专门面向中小企业采购。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1、法定代表人授权委托书：非法定代表人参加磋商的，须提供法定代表人授权委托书及被授权人身份证；法定代表人参加磋商时,只须提供法定代表人身份证。</w:t>
      </w:r>
    </w:p>
    <w:p>
      <w:pPr>
        <w:pStyle w:val="null3"/>
      </w:pPr>
      <w:r>
        <w:rPr>
          <w:rFonts w:ascii="仿宋_GB2312" w:hAnsi="仿宋_GB2312" w:cs="仿宋_GB2312" w:eastAsia="仿宋_GB2312"/>
        </w:rPr>
        <w:t>2、信用记录：申请人不得为“信用中国”网站（www.creditchina.gov.cn）严重失信主体和重大税收违法失信主体的供应商，不得为中国政府采购网（www.ccgp.gov.cn）政府采购严重违法失信行为记录名单中被财政部门禁止参加政府采购活动的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pPr>
        <w:pStyle w:val="null3"/>
      </w:pPr>
      <w:r>
        <w:rPr>
          <w:rFonts w:ascii="仿宋_GB2312" w:hAnsi="仿宋_GB2312" w:cs="仿宋_GB2312" w:eastAsia="仿宋_GB2312"/>
        </w:rPr>
        <w:t>3、项目负责人：供应商拟派项目负责人需为本单位注册的一级造价工程师（并提供造价工程师的社保缴纳证明）</w:t>
      </w:r>
    </w:p>
    <w:p>
      <w:pPr>
        <w:pStyle w:val="null3"/>
      </w:pPr>
      <w:r>
        <w:rPr>
          <w:rFonts w:ascii="仿宋_GB2312" w:hAnsi="仿宋_GB2312" w:cs="仿宋_GB2312" w:eastAsia="仿宋_GB2312"/>
        </w:rPr>
        <w:t>4、控股关系：申请人为同一人或者存在直接控股、管理关系的不同供应商，不得参加本次采购活动。</w:t>
      </w:r>
    </w:p>
    <w:p>
      <w:pPr>
        <w:pStyle w:val="null3"/>
      </w:pPr>
      <w:r>
        <w:rPr>
          <w:rFonts w:ascii="仿宋_GB2312" w:hAnsi="仿宋_GB2312" w:cs="仿宋_GB2312" w:eastAsia="仿宋_GB2312"/>
        </w:rPr>
        <w:t>5、联合体：本项目不接受联合体磋商，不允许分包。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西安市公路工程管理处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含光南路218号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029-88211197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城投时代（陕西）项目管理有限公司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陕西省西安市未央区陕西省西安市经济技术开发区凤城七路联益中心5楼501室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朱媛媛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029-89160083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代理服务费收费标准：本项目收取代理服务费：5000.00元代理服务费用收取对象：中标/成交供应商 代理服务费收费标准：1、参照国家计委计价格[2002]1980号及发改办价格[2003]857号通知规定。 2、支付方式：成交供应商应在领取通知书的同时，支付本项目代理服务费。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西安市公路工程管理处</w:t>
      </w:r>
      <w:r>
        <w:rPr>
          <w:rFonts w:ascii="仿宋_GB2312" w:hAnsi="仿宋_GB2312" w:cs="仿宋_GB2312" w:eastAsia="仿宋_GB2312"/>
        </w:rPr>
        <w:t>和</w:t>
      </w:r>
      <w:r>
        <w:rPr>
          <w:rFonts w:ascii="仿宋_GB2312" w:hAnsi="仿宋_GB2312" w:cs="仿宋_GB2312" w:eastAsia="仿宋_GB2312"/>
        </w:rPr>
        <w:t>城投时代（陕西）项目管理有限公司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西安市公路工程管理处</w:t>
      </w:r>
      <w:r>
        <w:rPr>
          <w:rFonts w:ascii="仿宋_GB2312" w:hAnsi="仿宋_GB2312" w:cs="仿宋_GB2312" w:eastAsia="仿宋_GB2312"/>
        </w:rPr>
        <w:t>负责解释。除上述磋商文件内容，其他内容由</w:t>
      </w:r>
      <w:r>
        <w:rPr>
          <w:rFonts w:ascii="仿宋_GB2312" w:hAnsi="仿宋_GB2312" w:cs="仿宋_GB2312" w:eastAsia="仿宋_GB2312"/>
        </w:rPr>
        <w:t>城投时代（陕西）项目管理有限公司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西安市公路工程管理处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城投时代（陕西）项目管理有限公司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联系人：朱媛媛</w:t>
      </w:r>
    </w:p>
    <w:p>
      <w:pPr>
        <w:pStyle w:val="null3"/>
      </w:pPr>
      <w:r>
        <w:rPr>
          <w:rFonts w:ascii="仿宋_GB2312" w:hAnsi="仿宋_GB2312" w:cs="仿宋_GB2312" w:eastAsia="仿宋_GB2312"/>
        </w:rPr>
        <w:t>联系电话：029-89160083</w:t>
      </w:r>
    </w:p>
    <w:p>
      <w:pPr>
        <w:pStyle w:val="null3"/>
      </w:pPr>
      <w:r>
        <w:rPr>
          <w:rFonts w:ascii="仿宋_GB2312" w:hAnsi="仿宋_GB2312" w:cs="仿宋_GB2312" w:eastAsia="仿宋_GB2312"/>
        </w:rPr>
        <w:t>地址：陕西省西安市未央区陕西省西安市经济技术开发区凤城七路联益中心5楼501室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210国道西安过境下大寨至侯官寨公路路线起于西安市高陵区西关村，经塬陶村、西泉街道、邵平店、岳家沟、神峪寺沟、鸣犊街道，止于西安市长安区侯官寨村。全线采用双向六车道一级公路技术标准，设计速度80公里/小时。本合同服务范围为项目K23+020～ K33+000段。本项目工程建设时需迁改影响工程施工的通信(移动、联通、电信、广电、长线、军缆、通信管道公司等)、电力(西安市供电公司、区县供电公司)、管道(天然气、热力、给排水等)等线路和设施，涉及的迁改工程点多、面广且专业性强，为了控制迁改补偿费用、规范程序流程，需委托第三方造价咨询公司进行专业咨询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310,000.00</w:t>
      </w:r>
    </w:p>
    <w:p>
      <w:pPr>
        <w:pStyle w:val="null3"/>
      </w:pPr>
      <w:r>
        <w:rPr>
          <w:rFonts w:ascii="仿宋_GB2312" w:hAnsi="仿宋_GB2312" w:cs="仿宋_GB2312" w:eastAsia="仿宋_GB2312"/>
        </w:rPr>
        <w:t>采购包最高限价（元）: 310,000.00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210国道西安过境下大寨至侯官寨公路工程三线迁改方案工程技术与造价咨询服务（补充）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标的名称：210国道西安过境下大寨至侯官寨公路工程三线迁改方案工程技术与造价咨询服务（补充）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技术参数与性能指标</w:t>
            </w:r>
          </w:p>
        </w:tc>
        <w:tc>
          <w:tcPr>
            <w:tcW w:type="dxa" w:w="2076"/>
          </w:tcPr>
          <w:p>
            <w:pPr>
              <w:pStyle w:val="null3"/>
            </w:pPr>
            <w:r>
              <w:rPr>
                <w:rFonts w:ascii="仿宋_GB2312" w:hAnsi="仿宋_GB2312" w:cs="仿宋_GB2312" w:eastAsia="仿宋_GB2312"/>
              </w:rPr>
              <w:t>一、服务范围：采购人委托供应商对迁改单位报送的迁改方案及预算进行审查，并出具审查报告。在服务过程中，供应商与采购人应积极配合，对项目实施过程中对存在的问题提出整改意见及其它情况，能及时提供调整方案与建议。</w:t>
            </w:r>
          </w:p>
          <w:p>
            <w:pPr>
              <w:pStyle w:val="null3"/>
            </w:pPr>
            <w:r>
              <w:rPr>
                <w:rFonts w:ascii="仿宋_GB2312" w:hAnsi="仿宋_GB2312" w:cs="仿宋_GB2312" w:eastAsia="仿宋_GB2312"/>
              </w:rPr>
              <w:t>二、服务要求：供应商在对迁改方案进行审查时必须到工程现场进行清点核查；</w:t>
            </w:r>
          </w:p>
          <w:p>
            <w:pPr>
              <w:pStyle w:val="null3"/>
            </w:pPr>
            <w:r>
              <w:rPr>
                <w:rFonts w:ascii="仿宋_GB2312" w:hAnsi="仿宋_GB2312" w:cs="仿宋_GB2312" w:eastAsia="仿宋_GB2312"/>
              </w:rPr>
              <w:t>供应商预算审查须依据国家相关标准规范和拆迁单位行业定额，凡国家标准规范和拆迁单位行业定额规定计取的费用均全额计取，规范和定额没有列明的费用不予计取。</w:t>
            </w:r>
          </w:p>
          <w:p>
            <w:pPr>
              <w:pStyle w:val="null3"/>
            </w:pPr>
            <w:r>
              <w:rPr>
                <w:rFonts w:ascii="仿宋_GB2312" w:hAnsi="仿宋_GB2312" w:cs="仿宋_GB2312" w:eastAsia="仿宋_GB2312"/>
              </w:rPr>
              <w:t>三、服务标准：成果应按不低于国家、省、市有关部门规定的质量标准执行。</w:t>
            </w:r>
          </w:p>
          <w:p>
            <w:pPr>
              <w:pStyle w:val="null3"/>
              <w:jc w:val="both"/>
            </w:pPr>
            <w:r>
              <w:rPr>
                <w:rFonts w:ascii="仿宋_GB2312" w:hAnsi="仿宋_GB2312" w:cs="仿宋_GB2312" w:eastAsia="仿宋_GB2312"/>
              </w:rPr>
              <w:t>四、成果交付：供应商按照采购人要求提供最终成果纸质版和电子版。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本项目服务期暂定1年（自本合同签订之日起至乙方出具审查报告、甲方向乙方付款后终止）。若工程迁改事项推迟，服务期顺延。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成果应按不低于国家、省、市有关部门规定的质量标准执行。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本合同书签字生效后，乙方完成全部造价工作并将审查报告提交给甲方确认后，乙方提供等额陕西省普通增值税发票，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1.提供合法有效的法人或其他组织的营业执照等证明文件，自然人参与的提供其身份证原件。 2.提供磋商截止时间前6个月内至少一个月的依法缴纳税收的相关凭据（时间以税款所属日期为准)，依法免税或无须缴纳税收的供应商应提供相关证明材料；提供磋商截止时间前6个月内至少一个月的社会保障资金的相关材料，依法不需要缴纳社会保障金的供应商需具有社保部门出具的证明文件。 3.参加本次政府采购活动前3年内在经营活动中没有重大违法记录，以及未被列入严重失信主体、重大税收违法失信主体、政府采购严重违法失信行为记录名单的书面声明。 4.磋商单位具有履行合同所需的设备和专业技术能力。（提供承诺函） 5.磋商单位具备法律、行政法规规定的其他条件。（提供承诺函）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响应文件.docx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提供经会计师事务所审计的2023年或2024年度完整的财务审计报告或开标前3个月内供应商基本存款账户开户银行出具的资信证明及开户许可证（基本存款账户信息）。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非法定代表人参加磋商的，须提供法定代表人授权委托书及被授权人身份证；法定代表人参加磋商时,只须提供法定代表人身份证。</w:t>
            </w:r>
          </w:p>
        </w:tc>
        <w:tc>
          <w:tcPr>
            <w:tcW w:type="dxa" w:w="1661"/>
          </w:tcPr>
          <w:p>
            <w:pPr>
              <w:pStyle w:val="null3"/>
            </w:pPr>
            <w:r>
              <w:rPr>
                <w:rFonts w:ascii="仿宋_GB2312" w:hAnsi="仿宋_GB2312" w:cs="仿宋_GB2312" w:eastAsia="仿宋_GB2312"/>
              </w:rPr>
              <w:t>响应文件封面 响应文件.docx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申请人不得为“信用中国”网站（www.creditchina.gov.cn）严重失信主体和重大税收违法失信主体的供应商，不得为中国政府采购网（www.ccgp.gov.cn）政府采购严重违法失信行为记录名单中被财政部门禁止参加政府采购活动的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响应文件.docx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供应商拟派项目负责人需为本单位注册的一级造价工程师（并提供造价工程师的社保缴纳证明）</w:t>
            </w:r>
          </w:p>
        </w:tc>
        <w:tc>
          <w:tcPr>
            <w:tcW w:type="dxa" w:w="1661"/>
          </w:tcPr>
          <w:p>
            <w:pPr>
              <w:pStyle w:val="null3"/>
            </w:pPr>
            <w:r>
              <w:rPr>
                <w:rFonts w:ascii="仿宋_GB2312" w:hAnsi="仿宋_GB2312" w:cs="仿宋_GB2312" w:eastAsia="仿宋_GB2312"/>
              </w:rPr>
              <w:t>响应文件.docx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申请人为同一人或者存在直接控股、管理关系的不同供应商，不得参加本次采购活动。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响应文件.docx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本项目不接受联合体磋商，不允许分包。</w:t>
            </w:r>
          </w:p>
        </w:tc>
        <w:tc>
          <w:tcPr>
            <w:tcW w:type="dxa" w:w="1661"/>
          </w:tcPr>
          <w:p>
            <w:pPr>
              <w:pStyle w:val="null3"/>
            </w:pPr>
            <w:r>
              <w:rPr>
                <w:rFonts w:ascii="仿宋_GB2312" w:hAnsi="仿宋_GB2312" w:cs="仿宋_GB2312" w:eastAsia="仿宋_GB2312"/>
              </w:rPr>
              <w:t>响应文件.docx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按照磋商文件规定要求签署、盖章的。法定代表人或法定代表人授权书。</w:t>
            </w:r>
          </w:p>
        </w:tc>
        <w:tc>
          <w:tcPr>
            <w:tcW w:type="dxa" w:w="1661"/>
          </w:tcPr>
          <w:p>
            <w:pPr>
              <w:pStyle w:val="null3"/>
            </w:pPr>
            <w:r>
              <w:rPr>
                <w:rFonts w:ascii="仿宋_GB2312" w:hAnsi="仿宋_GB2312" w:cs="仿宋_GB2312" w:eastAsia="仿宋_GB2312"/>
              </w:rPr>
              <w:t>响应文件封面 响应文件.docx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满足本磋商文件中标注的实质性条款（服务期限、服务地点、支付方式、支付约定）要求的</w:t>
            </w:r>
          </w:p>
        </w:tc>
        <w:tc>
          <w:tcPr>
            <w:tcW w:type="dxa" w:w="1661"/>
          </w:tcPr>
          <w:p>
            <w:pPr>
              <w:pStyle w:val="null3"/>
            </w:pPr>
            <w:r>
              <w:rPr>
                <w:rFonts w:ascii="仿宋_GB2312" w:hAnsi="仿宋_GB2312" w:cs="仿宋_GB2312" w:eastAsia="仿宋_GB2312"/>
              </w:rPr>
              <w:t>响应文件封面 响应文件.docx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响应文件.docx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响应文件封面 响应文件.docx 中小企业声明函 残疾人福利性单位声明函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1、拟派项目负责人具备高级工程师资格得2分。 2、拟派项目组成员（除项目负责人外）具有6名一级注册造价工程师（其中：土建专业2名，安装专业4名）基础得分1分；每增加1名得1分，满分 6分。 3、拟派项目组成员（除项目负责人外）每具有高级工程师资格 1名得1分，满分6分。 备注：须提供身份证、资格证书、职称证书、在本单位缴纳的社保证明材料复印件。</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响应文件.docx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2022年1月1日至今同类项目业绩证明材料，每提供一项得2 分，满分16分。 备注：1、同类项目业绩指的是：公路、铁路建设所涉及的三线迁改咨询业绩；2、日期以合同或协议签订时间为准；3、提供合同或协议复印件，并加盖单位公章，否则不作为评审依据，提供虚假合同或协议的取消投标资格，并追究相关责任。</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响应文件.docx</w:t>
            </w:r>
          </w:p>
        </w:tc>
      </w:tr>
      <w:tr>
        <w:tc>
          <w:tcPr>
            <w:tcW w:type="dxa" w:w="831"/>
            <w:vMerge/>
          </w:tcP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一、评审内容 根据项目实际需求，提供针对本项目的服务方案，方案内容包含①咨询工作的目的、范围、内容；②咨询工作实施步骤和方法；③咨询工作的重点和难点分析与控;④人员分工和工作时间计划；⑤质量控制措施；⑥合理化建议；⑦现场审计资料对接、保管、移交的保证措施。 二、评审标准 1、完整性:切合本项目实际情况，方案内容齐全，对招标文件中各项要求有详细描述及其他内容的补充; 2、可实施性:方案内容符合项目实际特点，合理、恰当; 3、针对性:切合本项目实际情况，根据磋商文件要求提出针对本项目实际操作性强的措施方案。 三、赋分标准(满分54分) 1、咨询工作的目的、范围、内容：每完全满足一个评审标准得3分，满分9分; 2、咨询工作实施步骤和方法：每完全满足一个评审标准得3分，满分9分; 3、咨询工作的重点和难点分析与控制：每完全满足一个评审标准得3分，满分9分; 4、咨询工作人员分工和工作时间计划：每完全满足一个评审标准得3分，满分9分; 5、咨询工作的质量控制措施：每完全满足一个评审标准得3分，满分9分; 6.供应商提出有利于采购人降低成本、提高项目实施质量等方面的合理化建议：每完全满足一个评审标准得2分，满分6分; 7.针对本项目现场审计资料对接、保管、移交的保证措施：每完全满足一个评审标准得1分，满分3分; 备注：服务方案编制应结合本项目采购内容及要求进行编写。</w:t>
            </w:r>
          </w:p>
        </w:tc>
        <w:tc>
          <w:tcPr>
            <w:tcW w:type="dxa" w:w="831"/>
          </w:tcPr>
          <w:p>
            <w:pPr>
              <w:pStyle w:val="null3"/>
              <w:jc w:val="right"/>
            </w:pPr>
            <w:r>
              <w:rPr>
                <w:rFonts w:ascii="仿宋_GB2312" w:hAnsi="仿宋_GB2312" w:cs="仿宋_GB2312" w:eastAsia="仿宋_GB2312"/>
              </w:rPr>
              <w:t>54.0000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响应文件.docx</w:t>
            </w:r>
          </w:p>
        </w:tc>
      </w:tr>
      <w:tr>
        <w:tc>
          <w:tcPr>
            <w:tcW w:type="dxa" w:w="831"/>
            <w:vMerge/>
          </w:tcPr>
          <w:p/>
        </w:tc>
        <w:tc>
          <w:tcPr>
            <w:tcW w:type="dxa" w:w="1661"/>
          </w:tcPr>
          <w:p>
            <w:pPr>
              <w:pStyle w:val="null3"/>
            </w:pPr>
            <w:r>
              <w:rPr>
                <w:rFonts w:ascii="仿宋_GB2312" w:hAnsi="仿宋_GB2312" w:cs="仿宋_GB2312" w:eastAsia="仿宋_GB2312"/>
              </w:rPr>
              <w:t>项目服务承诺</w:t>
            </w:r>
          </w:p>
        </w:tc>
        <w:tc>
          <w:tcPr>
            <w:tcW w:type="dxa" w:w="2492"/>
          </w:tcPr>
          <w:p>
            <w:pPr>
              <w:pStyle w:val="null3"/>
            </w:pPr>
            <w:r>
              <w:rPr>
                <w:rFonts w:ascii="仿宋_GB2312" w:hAnsi="仿宋_GB2312" w:cs="仿宋_GB2312" w:eastAsia="仿宋_GB2312"/>
              </w:rPr>
              <w:t>一、评审内容 根据项目实际需求，提供针对本项目的服务承诺，承诺内容包含①服务期及质量承诺；②参与本项目咨询人员的承诺；③配合各级审计机关审计的承诺;④其他承诺。 二、评审标准 1、科学性:切合本项目实际情况，叙述清楚，符合客观实际情况。 2、合理性:承诺内容符合项目实际特点，合理、恰当。 三、赋分标准(满分6分) 1、服务期及质量承诺：每完全满足一个评审标准得1分，满分2分; 2、参与本项目咨询人员的承诺：每完全满足一个评审标准得1分，满分2分; 3、配合各级审计机关审计的承诺：每完全满足一个评审标准得0.5分，满分1分; 4、其他承诺：每完全满足一个评审标准得0.5分，满分1分。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满足磋商文件要求且最终报价最高的供应商的价格为磋商基准价，其价格分为满分。其他供应商的价格分统一按照下列公式计算： 磋商报价得分=（最终磋商报价/磋商基准价）×价格权值×100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详见附件：三线迁改造价咨询服务合同.docx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