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版本号：ZJCG2025-03-0120250310001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2025年度“西安青年聚”新媒体平台维护运营项目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ZJCG2025-03-01</w:t>
      </w:r>
      <w:r>
        <w:br/>
      </w:r>
      <w:r>
        <w:br/>
      </w:r>
      <w:r>
        <w:br/>
      </w:r>
    </w:p>
    <w:p>
      <w:pPr>
        <w:pStyle w:val="null3"/>
        <w:jc w:val="center"/>
        <w:outlineLvl w:val="2"/>
      </w:pPr>
      <w:r>
        <w:rPr>
          <w:rFonts w:ascii="仿宋_GB2312" w:hAnsi="仿宋_GB2312" w:cs="仿宋_GB2312" w:eastAsia="仿宋_GB2312"/>
          <w:sz w:val="28"/>
          <w:b/>
        </w:rPr>
        <w:t>共青团西安市委员会（本级）</w:t>
      </w:r>
    </w:p>
    <w:p>
      <w:pPr>
        <w:pStyle w:val="null3"/>
        <w:jc w:val="center"/>
        <w:outlineLvl w:val="2"/>
      </w:pPr>
      <w:r>
        <w:rPr>
          <w:rFonts w:ascii="仿宋_GB2312" w:hAnsi="仿宋_GB2312" w:cs="仿宋_GB2312" w:eastAsia="仿宋_GB2312"/>
          <w:sz w:val="28"/>
          <w:b/>
        </w:rPr>
        <w:t>陕西贞吉建设项目管理有限公司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陕西贞吉建设项目管理有限公司</w:t>
      </w:r>
      <w:r>
        <w:rPr>
          <w:rFonts w:ascii="仿宋_GB2312" w:hAnsi="仿宋_GB2312" w:cs="仿宋_GB2312" w:eastAsia="仿宋_GB2312"/>
        </w:rPr>
        <w:t>（以下简称“代理机构”）受</w:t>
      </w:r>
      <w:r>
        <w:rPr>
          <w:rFonts w:ascii="仿宋_GB2312" w:hAnsi="仿宋_GB2312" w:cs="仿宋_GB2312" w:eastAsia="仿宋_GB2312"/>
        </w:rPr>
        <w:t>共青团西安市委员会（本级）</w:t>
      </w:r>
      <w:r>
        <w:rPr>
          <w:rFonts w:ascii="仿宋_GB2312" w:hAnsi="仿宋_GB2312" w:cs="仿宋_GB2312" w:eastAsia="仿宋_GB2312"/>
        </w:rPr>
        <w:t>委托，拟对</w:t>
      </w:r>
      <w:r>
        <w:rPr>
          <w:rFonts w:ascii="仿宋_GB2312" w:hAnsi="仿宋_GB2312" w:cs="仿宋_GB2312" w:eastAsia="仿宋_GB2312"/>
        </w:rPr>
        <w:t>2025年度“西安青年聚”新媒体平台维护运营项目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ZJCG2025-03-01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2025年度“西安青年聚”新媒体平台维护运营项目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安排专人负责共青团西安市委“西安青年聚”新媒体平台（包括且不限于网站、微博、微信公众号、微信视频号、抖音等）的运维。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采购包1（2025年度“西安青年聚”新媒体平台维护运营项目）：属于专门面向中小企业采购。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1、具备独立承担民事责任的能力，具有法人、事业法人、其它组织或自然人的营业执照等证明文件：具备独立承担民事责任的能力，具有法人、事业法人、其它组织或自然人的营业执照等证明文件。合法有效</w:t>
      </w:r>
    </w:p>
    <w:p>
      <w:pPr>
        <w:pStyle w:val="null3"/>
      </w:pPr>
      <w:r>
        <w:rPr>
          <w:rFonts w:ascii="仿宋_GB2312" w:hAnsi="仿宋_GB2312" w:cs="仿宋_GB2312" w:eastAsia="仿宋_GB2312"/>
        </w:rPr>
        <w:t>2、法定代表人授权书及被授权人身份证复印件加盖公章；(法定代表人直接参加投标，只须提交其身份证及其复印件)：法定代表人授权书及被授权人身份证复印件加盖公章；(法定代表人直接参加投标，只须提交其身份证及其复印件)。合法有效</w:t>
      </w:r>
    </w:p>
    <w:p>
      <w:pPr>
        <w:pStyle w:val="null3"/>
      </w:pPr>
      <w:r>
        <w:rPr>
          <w:rFonts w:ascii="仿宋_GB2312" w:hAnsi="仿宋_GB2312" w:cs="仿宋_GB2312" w:eastAsia="仿宋_GB2312"/>
        </w:rPr>
        <w:t>3、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真实有效</w:t>
      </w:r>
    </w:p>
    <w:p>
      <w:pPr>
        <w:pStyle w:val="null3"/>
      </w:pPr>
      <w:r>
        <w:rPr>
          <w:rFonts w:ascii="仿宋_GB2312" w:hAnsi="仿宋_GB2312" w:cs="仿宋_GB2312" w:eastAsia="仿宋_GB2312"/>
        </w:rPr>
        <w:t>4、提供具有履行合同所必需的设备和专业技术能力的承诺：提供具有履行合同所必需的设备和专业技术能力的承诺，提供承诺函，真实有效。</w:t>
      </w:r>
    </w:p>
    <w:p>
      <w:pPr>
        <w:pStyle w:val="null3"/>
      </w:pPr>
      <w:r>
        <w:rPr>
          <w:rFonts w:ascii="仿宋_GB2312" w:hAnsi="仿宋_GB2312" w:cs="仿宋_GB2312" w:eastAsia="仿宋_GB2312"/>
        </w:rPr>
        <w:t>5、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真实有效</w:t>
      </w:r>
    </w:p>
    <w:p>
      <w:pPr>
        <w:pStyle w:val="null3"/>
      </w:pPr>
      <w:r>
        <w:rPr>
          <w:rFonts w:ascii="仿宋_GB2312" w:hAnsi="仿宋_GB2312" w:cs="仿宋_GB2312" w:eastAsia="仿宋_GB2312"/>
        </w:rPr>
        <w:t>6、提供2024年9月1日起至开标时间前已缴存的至少一个月的社会保障资金缴存单据或社保机构开具的社会保险参保缴费情况证明，依法不需要缴纳社会保障资金的单位应提供相关证明材料：提供2024年9月1日起至开标时间前已缴存的至少一个月的社会保障资金缴存单据或社保机构开具的社会保险参保缴费情况证明，依法不需要缴纳社会保障资金的单位应提供相关证明材料。真实有效</w:t>
      </w:r>
    </w:p>
    <w:p>
      <w:pPr>
        <w:pStyle w:val="null3"/>
      </w:pPr>
      <w:r>
        <w:rPr>
          <w:rFonts w:ascii="仿宋_GB2312" w:hAnsi="仿宋_GB2312" w:cs="仿宋_GB2312" w:eastAsia="仿宋_GB2312"/>
        </w:rPr>
        <w:t>7、参加政府采购活动前3年内，在经营活动中没有重大违法记录的书面声明（格式自拟）：参加政府采购活动前3年内，在经营活动中没有重大违法记录的书面声明（格式自拟）。提供声明函，真实有效</w:t>
      </w:r>
    </w:p>
    <w:p>
      <w:pPr>
        <w:pStyle w:val="null3"/>
      </w:pPr>
      <w:r>
        <w:rPr>
          <w:rFonts w:ascii="仿宋_GB2312" w:hAnsi="仿宋_GB2312" w:cs="仿宋_GB2312" w:eastAsia="仿宋_GB2312"/>
        </w:rPr>
        <w:t>8、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真实有效</w:t>
      </w:r>
    </w:p>
    <w:p>
      <w:pPr>
        <w:pStyle w:val="null3"/>
      </w:pPr>
      <w:r>
        <w:rPr>
          <w:rFonts w:ascii="仿宋_GB2312" w:hAnsi="仿宋_GB2312" w:cs="仿宋_GB2312" w:eastAsia="仿宋_GB2312"/>
        </w:rPr>
        <w:t>9、单位负责人为同一人或者存在控股、管理关系的不同单位，不得同时参加本次招标：单位负责人为同一人或者存在控股、管理关系的不同单位，不得同时参加本次招标。提供承诺函，真实有效</w:t>
      </w:r>
    </w:p>
    <w:p>
      <w:pPr>
        <w:pStyle w:val="null3"/>
      </w:pPr>
      <w:r>
        <w:rPr>
          <w:rFonts w:ascii="仿宋_GB2312" w:hAnsi="仿宋_GB2312" w:cs="仿宋_GB2312" w:eastAsia="仿宋_GB2312"/>
        </w:rPr>
        <w:t>10、本项目专门面向中小企业采购；须符合《政府采购促进中小企业发展管理办法》（财库〔2020〕46号）规定的中小企业参加；(提供《中小企业声明函》）：本项目专门面向中小企业采购；须符合《政府采购促进中小企业发展管理办法》（财库〔2020〕46号）规定的中小企业参加；(提供《中小企业声明函》），真实有效</w:t>
      </w:r>
    </w:p>
    <w:p>
      <w:pPr>
        <w:pStyle w:val="null3"/>
      </w:pPr>
      <w:r>
        <w:rPr>
          <w:rFonts w:ascii="仿宋_GB2312" w:hAnsi="仿宋_GB2312" w:cs="仿宋_GB2312" w:eastAsia="仿宋_GB2312"/>
        </w:rPr>
        <w:t>11、本次项目不接受联合体投标：本次项目不接受联合体投标，提供承诺函，真实有效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共青团西安市委员会（本级）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西安市西北国金中心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李子杰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87222858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陕西贞吉建设项目管理有限公司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西安市经济技术开发区赛高国际D座603室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陈洪雅、姜培栋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02986679931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领取成交通知书时，由成交供应商按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采购招标代理机构一次支付采购代理服务费，招标代理费用不足捌仟元（￥：8000元）时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共青团西安市委员会（本级）</w:t>
      </w:r>
      <w:r>
        <w:rPr>
          <w:rFonts w:ascii="仿宋_GB2312" w:hAnsi="仿宋_GB2312" w:cs="仿宋_GB2312" w:eastAsia="仿宋_GB2312"/>
        </w:rPr>
        <w:t>和</w:t>
      </w:r>
      <w:r>
        <w:rPr>
          <w:rFonts w:ascii="仿宋_GB2312" w:hAnsi="仿宋_GB2312" w:cs="仿宋_GB2312" w:eastAsia="仿宋_GB2312"/>
        </w:rPr>
        <w:t>陕西贞吉建设项目管理有限公司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共青团西安市委员会（本级）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陕西贞吉建设项目管理有限公司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共青团西安市委员会（本级）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陕西贞吉建设项目管理有限公司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联系人：陈工、姜工</w:t>
      </w:r>
    </w:p>
    <w:p>
      <w:pPr>
        <w:pStyle w:val="null3"/>
      </w:pPr>
      <w:r>
        <w:rPr>
          <w:rFonts w:ascii="仿宋_GB2312" w:hAnsi="仿宋_GB2312" w:cs="仿宋_GB2312" w:eastAsia="仿宋_GB2312"/>
        </w:rPr>
        <w:t>联系电话：029-86679931</w:t>
      </w:r>
    </w:p>
    <w:p>
      <w:pPr>
        <w:pStyle w:val="null3"/>
      </w:pPr>
      <w:r>
        <w:rPr>
          <w:rFonts w:ascii="仿宋_GB2312" w:hAnsi="仿宋_GB2312" w:cs="仿宋_GB2312" w:eastAsia="仿宋_GB2312"/>
        </w:rPr>
        <w:t>地址：西安市经济技术开发区赛高国际D座6层603室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安排专人负责共青团西安市委“西安青年聚”新媒体平台（包括且不限于网站、微博、微信公众号、微信视频号、抖音等）的运维。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.2025年度“西安青年聚”新媒体平台维护运营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标的名称：.2025年度“西安青年聚”新媒体平台维护运营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主要功能及目标</w:t>
            </w:r>
          </w:p>
        </w:tc>
        <w:tc>
          <w:tcPr>
            <w:tcW w:type="dxa" w:w="2076"/>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新媒体平台稿件的采编、宣传策划、排版美化、技术支持、稿件审核，每日在新媒体平台推送，通过内容运维，全年粉丝数量要有明显的增长；</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结合重要宣传时间节点设计制作原创主题海报、长图、短视频、</w:t>
            </w:r>
            <w:r>
              <w:rPr>
                <w:rFonts w:ascii="仿宋_GB2312" w:hAnsi="仿宋_GB2312" w:cs="仿宋_GB2312" w:eastAsia="仿宋_GB2312"/>
                <w:sz w:val="20"/>
              </w:rPr>
              <w:t>H5</w:t>
            </w:r>
            <w:r>
              <w:rPr>
                <w:rFonts w:ascii="仿宋_GB2312" w:hAnsi="仿宋_GB2312" w:cs="仿宋_GB2312" w:eastAsia="仿宋_GB2312"/>
                <w:sz w:val="20"/>
              </w:rPr>
              <w:t>、短视频等内容并发布推送，同时组织策划线上主题宣传及推广活动和线上直播活动，增强互动、吸引粉丝、增加阅读量；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结合第三方相关信息监测系统，共同做好对各平台相关信息的处置；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全年在中央级团属渠道实现品牌推广，不断扩大西安共青团影响力。</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做好其他相关工作。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需满足的需求</w:t>
            </w:r>
          </w:p>
        </w:tc>
        <w:tc>
          <w:tcPr>
            <w:tcW w:type="dxa" w:w="2076"/>
          </w:tcPr>
          <w:p>
            <w:pPr>
              <w:pStyle w:val="null3"/>
              <w:jc w:val="left"/>
            </w:pPr>
            <w:r>
              <w:rPr>
                <w:rFonts w:ascii="仿宋_GB2312" w:hAnsi="仿宋_GB2312" w:cs="仿宋_GB2312" w:eastAsia="仿宋_GB2312"/>
                <w:sz w:val="20"/>
              </w:rPr>
              <w:t>按照中央和省委、市委关于政务新媒体的工作要求，须由主流新闻媒体、具有互联网新闻采编发布服务资质的主流新闻网站等单位。</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jc w:val="both"/>
            </w:pPr>
            <w:r>
              <w:rPr>
                <w:rFonts w:ascii="仿宋_GB2312" w:hAnsi="仿宋_GB2312" w:cs="仿宋_GB2312" w:eastAsia="仿宋_GB2312"/>
                <w:sz w:val="20"/>
              </w:rPr>
              <w:t>自招标结束起</w:t>
            </w:r>
            <w:r>
              <w:rPr>
                <w:rFonts w:ascii="仿宋_GB2312" w:hAnsi="仿宋_GB2312" w:cs="仿宋_GB2312" w:eastAsia="仿宋_GB2312"/>
                <w:sz w:val="20"/>
              </w:rPr>
              <w:t>至</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1.符合竞争性磋商文件规定 2.最高限价：总预算：420,000.00元 供应商采购包报价高于采购包采购预算的，其响应文件将按无效处理。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自招标结束起至2025年12月31日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委托合同生效后15个工作日内支付合同款项60%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服务事项完成后，乙方提交电子版结项报告，经甲方组织项目绩效评估审核乙方服务合格后，一个月内拨付剩余款项40%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中标单位在中标后应无偿线下递交响应文件正本壹套、副本贰套、电子版U盘贰套(U盘贰套标明供应商名称，单独密封）。若电子响应文件与纸质响应文件不一致的，以电子响应文件为准，若正本和副本不符，以正本为准。线上递交文件时间：详见本项目磋商公告响应文件递交截止时间：线下递交文件时间地点:具体递交时间以代理机构通知为准，地址：西安市经济技术开发区赛高国际D座6层603室。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资格审查部分.docx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资格审查部分.docx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具备独立承担民事责任的能力，具有法人、事业法人、其它组织或自然人的营业执照等证明文件</w:t>
            </w:r>
          </w:p>
        </w:tc>
        <w:tc>
          <w:tcPr>
            <w:tcW w:type="dxa" w:w="3322"/>
          </w:tcPr>
          <w:p>
            <w:pPr>
              <w:pStyle w:val="null3"/>
            </w:pPr>
            <w:r>
              <w:rPr>
                <w:rFonts w:ascii="仿宋_GB2312" w:hAnsi="仿宋_GB2312" w:cs="仿宋_GB2312" w:eastAsia="仿宋_GB2312"/>
              </w:rPr>
              <w:t>具备独立承担民事责任的能力，具有法人、事业法人、其它组织或自然人的营业执照等证明文件。合法有效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法定代表人授权书及被授权人身份证复印件加盖公章；(法定代表人直接参加投标，只须提交其身份证及其复印件)。合法有效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w:t>
            </w:r>
          </w:p>
        </w:tc>
        <w:tc>
          <w:tcPr>
            <w:tcW w:type="dxa" w:w="3322"/>
          </w:tcPr>
          <w:p>
            <w:pPr>
              <w:pStyle w:val="null3"/>
            </w:pPr>
            <w:r>
              <w:rPr>
                <w:rFonts w:ascii="仿宋_GB2312" w:hAnsi="仿宋_GB2312" w:cs="仿宋_GB2312" w:eastAsia="仿宋_GB2312"/>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提供具有履行合同所必需的设备和专业技术能力的承诺，提供承诺函，真实有效。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w:t>
            </w:r>
          </w:p>
        </w:tc>
        <w:tc>
          <w:tcPr>
            <w:tcW w:type="dxa" w:w="3322"/>
          </w:tcPr>
          <w:p>
            <w:pPr>
              <w:pStyle w:val="null3"/>
            </w:pPr>
            <w:r>
              <w:rPr>
                <w:rFonts w:ascii="仿宋_GB2312" w:hAnsi="仿宋_GB2312" w:cs="仿宋_GB2312" w:eastAsia="仿宋_GB2312"/>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提供2024年9月1日起至开标时间前已缴存的至少一个月的社会保障资金缴存单据或社保机构开具的社会保险参保缴费情况证明，依法不需要缴纳社会保障资金的单位应提供相关证明材料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提供2024年9月1日起至开标时间前已缴存的至少一个月的社会保障资金缴存单据或社保机构开具的社会保险参保缴费情况证明，依法不需要缴纳社会保障资金的单位应提供相关证明材料。真实有效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参加政府采购活动前3年内，在经营活动中没有重大违法记录的书面声明（格式自拟）</w:t>
            </w:r>
          </w:p>
        </w:tc>
        <w:tc>
          <w:tcPr>
            <w:tcW w:type="dxa" w:w="3322"/>
          </w:tcPr>
          <w:p>
            <w:pPr>
              <w:pStyle w:val="null3"/>
            </w:pPr>
            <w:r>
              <w:rPr>
                <w:rFonts w:ascii="仿宋_GB2312" w:hAnsi="仿宋_GB2312" w:cs="仿宋_GB2312" w:eastAsia="仿宋_GB2312"/>
              </w:rPr>
              <w:t>参加政府采购活动前3年内，在经营活动中没有重大违法记录的书面声明（格式自拟）。提供声明函，真实有效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单位负责人为同一人或者存在控股、管理关系的不同单位，不得同时参加本次招标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单位负责人为同一人或者存在控股、管理关系的不同单位，不得同时参加本次招标。提供承诺函，真实有效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本次项目不接受联合体投标，提供承诺函，真实有效</w:t>
            </w:r>
          </w:p>
        </w:tc>
        <w:tc>
          <w:tcPr>
            <w:tcW w:type="dxa" w:w="1661"/>
          </w:tcPr>
          <w:p>
            <w:pPr>
              <w:pStyle w:val="null3"/>
            </w:pPr>
            <w:r>
              <w:rPr>
                <w:rFonts w:ascii="仿宋_GB2312" w:hAnsi="仿宋_GB2312" w:cs="仿宋_GB2312" w:eastAsia="仿宋_GB2312"/>
              </w:rPr>
              <w:t>资格审查部分.docx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至少以下三处的项目名称、项目编号与本项目完全一致：(1) 响应文件封面 (2) 响应函 (3) 法定代表人 (主要负责人) 授权委托书\身份证明；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响应文件格式、签章、语言、计量单位、报价货币</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 货币单位符合竞争性磋商文件要求； (2) 报价符合唯一性要求 ； (3) 未超出采购预算（最高限价）； (4) 符合《报价表》的填报要求</w:t>
            </w:r>
          </w:p>
        </w:tc>
        <w:tc>
          <w:tcPr>
            <w:tcW w:type="dxa" w:w="1661"/>
          </w:tcPr>
          <w:p>
            <w:pPr>
              <w:pStyle w:val="null3"/>
            </w:pPr>
            <w:r>
              <w:rPr>
                <w:rFonts w:ascii="仿宋_GB2312" w:hAnsi="仿宋_GB2312" w:cs="仿宋_GB2312" w:eastAsia="仿宋_GB2312"/>
              </w:rPr>
              <w:t>报价情况.docx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供应商承诺书.docx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完全响应竞争性磋商文件要求的合同条款。</w:t>
            </w:r>
          </w:p>
        </w:tc>
        <w:tc>
          <w:tcPr>
            <w:tcW w:type="dxa" w:w="1661"/>
          </w:tcPr>
          <w:p>
            <w:pPr>
              <w:pStyle w:val="null3"/>
            </w:pPr>
            <w:r>
              <w:rPr>
                <w:rFonts w:ascii="仿宋_GB2312" w:hAnsi="仿宋_GB2312" w:cs="仿宋_GB2312" w:eastAsia="仿宋_GB2312"/>
              </w:rPr>
              <w:t>报价情况.docx 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报价情况.docx 商务应答表 标的清单 响应函 商务及技术偏离表.docx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对本项目工作内容的理解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1）对本项目理解深刻，分析正确、合理得[4-6]分； 2）对本项目基本理解，分析基本正确、合理得 [2-4)分； 3）对本项目理解一般，重点、难点分析不全面得 （0-2）分；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对本项目工作内容的理解.docx</w:t>
            </w:r>
          </w:p>
        </w:tc>
      </w:tr>
      <w:tr>
        <w:tc>
          <w:tcPr>
            <w:tcW w:type="dxa" w:w="831"/>
            <w:vMerge/>
          </w:tcPr>
          <w:p/>
        </w:tc>
        <w:tc>
          <w:tcPr>
            <w:tcW w:type="dxa" w:w="1661"/>
          </w:tcPr>
          <w:p>
            <w:pPr>
              <w:pStyle w:val="null3"/>
            </w:pPr>
            <w:r>
              <w:rPr>
                <w:rFonts w:ascii="仿宋_GB2312" w:hAnsi="仿宋_GB2312" w:cs="仿宋_GB2312" w:eastAsia="仿宋_GB2312"/>
              </w:rPr>
              <w:t>项目实施计划与服务方案</w:t>
            </w:r>
          </w:p>
        </w:tc>
        <w:tc>
          <w:tcPr>
            <w:tcW w:type="dxa" w:w="2492"/>
          </w:tcPr>
          <w:p>
            <w:pPr>
              <w:pStyle w:val="null3"/>
            </w:pPr>
            <w:r>
              <w:rPr>
                <w:rFonts w:ascii="仿宋_GB2312" w:hAnsi="仿宋_GB2312" w:cs="仿宋_GB2312" w:eastAsia="仿宋_GB2312"/>
              </w:rPr>
              <w:t>对本项目实施计划与服务方案（包括但不限于网站、微博、微信公众号、微信视频号、抖音等运维方案等） 1）完整性、合理性、可行性较强得[8-12]分； 2）完整性、合理性、可行性一般得[4-8)分； 3）完整性、合理性、可行性较差得(0-4)分； 4）未提供相关内容的不得分。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项目实施计划与服务方案.docx</w:t>
            </w:r>
          </w:p>
        </w:tc>
      </w:tr>
      <w:tr>
        <w:tc>
          <w:tcPr>
            <w:tcW w:type="dxa" w:w="831"/>
            <w:vMerge/>
          </w:tcPr>
          <w:p/>
        </w:tc>
        <w:tc>
          <w:tcPr>
            <w:tcW w:type="dxa" w:w="1661"/>
          </w:tcPr>
          <w:p>
            <w:pPr>
              <w:pStyle w:val="null3"/>
            </w:pPr>
            <w:r>
              <w:rPr>
                <w:rFonts w:ascii="仿宋_GB2312" w:hAnsi="仿宋_GB2312" w:cs="仿宋_GB2312" w:eastAsia="仿宋_GB2312"/>
              </w:rPr>
              <w:t>进度目标及保障措施</w:t>
            </w:r>
          </w:p>
        </w:tc>
        <w:tc>
          <w:tcPr>
            <w:tcW w:type="dxa" w:w="2492"/>
          </w:tcPr>
          <w:p>
            <w:pPr>
              <w:pStyle w:val="null3"/>
            </w:pPr>
            <w:r>
              <w:rPr>
                <w:rFonts w:ascii="仿宋_GB2312" w:hAnsi="仿宋_GB2312" w:cs="仿宋_GB2312" w:eastAsia="仿宋_GB2312"/>
              </w:rPr>
              <w:t>供应商针对本项目提供详细的进度目标及保障措施： 1）进度目标及保障措施详尽，完全满足采购人需求，能够保证服务质量，及时协调解决各类问题，得[4-8]分； 2）进度目标及保障措施较全面，基本满足采购人需求，保证服务质量，基本能协调解决各类问题，得[2-4)分； 3）进度目标及保障措施简略，部分满足采购人需求，保证服务质量，及协调解决各类问题的能力不强，得(0-2) 分； 4）未提供相关内容的不得分。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进度目标及保障措施.docx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供应商针对本项目提供详细的质量控制措施： 1）质量控制措施全面、合理、可靠，具有针对性，得[4-8]分； 2）质量控制措施质量较全面、合理、可行，基本满足需求， 得[2-4)分； 3）质量控制措施简单，不合理，内容有重大缺陷，得(0-2)分； 4）未提供相关内容的不得分。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运维情况</w:t>
            </w:r>
          </w:p>
        </w:tc>
        <w:tc>
          <w:tcPr>
            <w:tcW w:type="dxa" w:w="2492"/>
          </w:tcPr>
          <w:p>
            <w:pPr>
              <w:pStyle w:val="null3"/>
            </w:pPr>
            <w:r>
              <w:rPr>
                <w:rFonts w:ascii="仿宋_GB2312" w:hAnsi="仿宋_GB2312" w:cs="仿宋_GB2312" w:eastAsia="仿宋_GB2312"/>
              </w:rPr>
              <w:t>具备新媒体平台运营经验，且运维平台在行业排名、粉丝量增 长、综合影响力提升等方面取得较好成绩，得[4-8]分； 具备其他平台运维经验，且取得较好成绩，得[2-4)分； 具备运维经验，得(0-2)分。 提供相关运维说明、总结等证明材料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运维情况.docx</w:t>
            </w:r>
          </w:p>
        </w:tc>
      </w:tr>
      <w:tr>
        <w:tc>
          <w:tcPr>
            <w:tcW w:type="dxa" w:w="831"/>
            <w:vMerge/>
          </w:tcPr>
          <w:p/>
        </w:tc>
        <w:tc>
          <w:tcPr>
            <w:tcW w:type="dxa" w:w="1661"/>
          </w:tcPr>
          <w:p>
            <w:pPr>
              <w:pStyle w:val="null3"/>
            </w:pPr>
            <w:r>
              <w:rPr>
                <w:rFonts w:ascii="仿宋_GB2312" w:hAnsi="仿宋_GB2312" w:cs="仿宋_GB2312" w:eastAsia="仿宋_GB2312"/>
              </w:rPr>
              <w:t>平台影响力提升</w:t>
            </w:r>
          </w:p>
        </w:tc>
        <w:tc>
          <w:tcPr>
            <w:tcW w:type="dxa" w:w="2492"/>
          </w:tcPr>
          <w:p>
            <w:pPr>
              <w:pStyle w:val="null3"/>
            </w:pPr>
            <w:r>
              <w:rPr>
                <w:rFonts w:ascii="仿宋_GB2312" w:hAnsi="仿宋_GB2312" w:cs="仿宋_GB2312" w:eastAsia="仿宋_GB2312"/>
              </w:rPr>
              <w:t>根据供应商对项目需求的分析，为项目影响力提升提供保证。 能够通过运维及资源渠道，确保平台在行业排名影响力提升2 到3名，得[4-8]分； 能够通过运维及资源渠道，确保平台运维影响力较目前水平有 所提升，得[2-4)分； 能够通过运维及资源渠道，实现工作推广，得(0-2)分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平台影响力提升.docx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根据供应商提供的拟投入本项目人员，团队组织架构、工作分配，由评委进行综合评价。其中团队人员的职称包括但不限于新闻采编资格证、记者证等； ①人员配备充足，分工明确且合理，岗位职责清晰计[4-8]分；②人员配备较充足，分工明确较合理，岗位职责较清晰计[2-4)分；③人员配备不充足，分工不明确，岗位职责不清晰计（0-2）分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团队成员.docx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根据供应商对本项目提供的应急预案及承诺内容赋分。 应急响应及相关事件有具体可行的应急措施和解决方案，有明 确的承诺，得[4-8]分； 应急响应及突发事件具备应急措施，操作性一般，得[2-4)分； 应急预案简单，与项目实际有差距，得(0-2)分。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 1）承诺内容完整详尽，且不限于上述所要求内容的得[4-8]分； 2）承诺内容无缺漏，对上述所要求内容描述符合招标文件的得[2-4)分； （3）不符合上述两种情形的得（0-2）分。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1.供应商具有国家互联网信息办公室颁发的互联网新闻信息服务许可证，得3分。 2.供应商具有国家广播电视总局颁发的信息网络传播视听节目许可证，得3分。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 2 分，最高得10分。(以提供的合同或中标（成交）通知书的复印件为准，时间以合同签订时间或中标（成交）通知书时间为准。)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 (磋商基准价/最后磋商报价)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报价情况.docx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详见附件：报价情况.docx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详见附件：对本项目工作内容的理解.docx</w:t>
      </w:r>
    </w:p>
    <w:p>
      <w:pPr>
        <w:pStyle w:val="null3"/>
        <w:ind w:firstLine="960"/>
      </w:pPr>
      <w:r>
        <w:rPr>
          <w:rFonts w:ascii="仿宋_GB2312" w:hAnsi="仿宋_GB2312" w:cs="仿宋_GB2312" w:eastAsia="仿宋_GB2312"/>
        </w:rPr>
        <w:t>详见附件：项目实施计划与服务方案.docx</w:t>
      </w:r>
    </w:p>
    <w:p>
      <w:pPr>
        <w:pStyle w:val="null3"/>
        <w:ind w:firstLine="960"/>
      </w:pPr>
      <w:r>
        <w:rPr>
          <w:rFonts w:ascii="仿宋_GB2312" w:hAnsi="仿宋_GB2312" w:cs="仿宋_GB2312" w:eastAsia="仿宋_GB2312"/>
        </w:rPr>
        <w:t>详见附件：进度目标及保障措施.docx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详见附件：运维情况.docx</w:t>
      </w:r>
    </w:p>
    <w:p>
      <w:pPr>
        <w:pStyle w:val="null3"/>
        <w:ind w:firstLine="960"/>
      </w:pPr>
      <w:r>
        <w:rPr>
          <w:rFonts w:ascii="仿宋_GB2312" w:hAnsi="仿宋_GB2312" w:cs="仿宋_GB2312" w:eastAsia="仿宋_GB2312"/>
        </w:rPr>
        <w:t>详见附件：平台影响力提升.docx</w:t>
      </w:r>
    </w:p>
    <w:p>
      <w:pPr>
        <w:pStyle w:val="null3"/>
        <w:ind w:firstLine="960"/>
      </w:pPr>
      <w:r>
        <w:rPr>
          <w:rFonts w:ascii="仿宋_GB2312" w:hAnsi="仿宋_GB2312" w:cs="仿宋_GB2312" w:eastAsia="仿宋_GB2312"/>
        </w:rPr>
        <w:t>详见附件：团队成员.docx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详见附件：资格审查部分.docx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详见附件：【修订版】2024年西安青年聚合同.docx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