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版本号：HRPDZB2025-03520250401001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公共文化场馆安全隐患排除提升修缮项目施工服务(二次)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HRPDZB2025-035</w:t>
      </w:r>
      <w:r>
        <w:br/>
      </w:r>
      <w:r>
        <w:br/>
      </w:r>
      <w:r>
        <w:br/>
      </w:r>
    </w:p>
    <w:p>
      <w:pPr>
        <w:pStyle w:val="null3"/>
        <w:jc w:val="center"/>
        <w:outlineLvl w:val="2"/>
      </w:pPr>
      <w:r>
        <w:rPr>
          <w:rFonts w:ascii="仿宋_GB2312" w:hAnsi="仿宋_GB2312" w:cs="仿宋_GB2312" w:eastAsia="仿宋_GB2312"/>
          <w:sz w:val="28"/>
          <w:b/>
        </w:rPr>
        <w:t>西安市群众艺术馆</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西安市群众艺术馆</w:t>
      </w:r>
      <w:r>
        <w:rPr>
          <w:rFonts w:ascii="仿宋_GB2312" w:hAnsi="仿宋_GB2312" w:cs="仿宋_GB2312" w:eastAsia="仿宋_GB2312"/>
        </w:rPr>
        <w:t>委托，拟对</w:t>
      </w:r>
      <w:r>
        <w:rPr>
          <w:rFonts w:ascii="仿宋_GB2312" w:hAnsi="仿宋_GB2312" w:cs="仿宋_GB2312" w:eastAsia="仿宋_GB2312"/>
        </w:rPr>
        <w:t>公共文化场馆安全隐患排除提升修缮项目施工服务(二次)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HRPDZB2025-035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公共文化场馆安全隐患排除提升修缮项目施工服务(二次)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本次安全隐患排除提升修缮项目涉及屋面防水、墙地面、顶棚、电梯、通风空调、给排水消防工程的改造，具体建设内容以施工图纸及工程量清单为准。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采购包1（公共文化场馆安全隐患排除提升修缮项目施工服务）：属于专门面向小微企业采购。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企业法人或其他组织，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身份证明书及授权书：法定代表人直接投标须提交其身份证，法定代表人授权代表参加投标的，须出具授权书及被授权人身份证，供应商需在项目电子化交易系统中按要求上传相应证明文件并进行电子签章；</w:t>
      </w:r>
    </w:p>
    <w:p>
      <w:pPr>
        <w:pStyle w:val="null3"/>
      </w:pPr>
      <w:r>
        <w:rPr>
          <w:rFonts w:ascii="仿宋_GB2312" w:hAnsi="仿宋_GB2312" w:cs="仿宋_GB2312" w:eastAsia="仿宋_GB2312"/>
        </w:rPr>
        <w:t>3、审计报告：供应商须提供2023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pPr>
        <w:pStyle w:val="null3"/>
      </w:pPr>
      <w:r>
        <w:rPr>
          <w:rFonts w:ascii="仿宋_GB2312" w:hAnsi="仿宋_GB2312" w:cs="仿宋_GB2312" w:eastAsia="仿宋_GB2312"/>
        </w:rPr>
        <w:t>4、税收缴纳凭证：供应商须提供投标截止时间前六个月内任意一个月的税收缴纳凭证（注：依法免税或零申报的供应商应提供相关文件证明；若为新成立企业须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保缴纳凭证：供应商须提供投标截止时间前六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企业资质要求：供应商须具备建筑工程施工总承包三级及以上资质，在有效期内，且具备有效的安全生产许可证（原件或复印件加盖供应商公章），供应商需在项目电子化交易系统中按要求上传相应证明文件并进行电子签章；</w:t>
      </w:r>
    </w:p>
    <w:p>
      <w:pPr>
        <w:pStyle w:val="null3"/>
      </w:pPr>
      <w:r>
        <w:rPr>
          <w:rFonts w:ascii="仿宋_GB2312" w:hAnsi="仿宋_GB2312" w:cs="仿宋_GB2312" w:eastAsia="仿宋_GB2312"/>
        </w:rPr>
        <w:t>7、拟派项目经理资质要求：拟派项目经理须具备建筑工程专业二级及以上注册建造师资质，在有效期内，且具备有效的安全生产考核合格证书（B证），并提供项目经理无其他在建工程承诺，供应商需在项目电子化交易系统中按要求上传相应证明文件并进行电子签章；</w:t>
      </w:r>
    </w:p>
    <w:p>
      <w:pPr>
        <w:pStyle w:val="null3"/>
      </w:pPr>
      <w:r>
        <w:rPr>
          <w:rFonts w:ascii="仿宋_GB2312" w:hAnsi="仿宋_GB2312" w:cs="仿宋_GB2312" w:eastAsia="仿宋_GB2312"/>
        </w:rPr>
        <w:t>8、承诺函：供应商须提供具有履行合同所必需的设备和专业技术能力的承诺函(加盖供应商公章)，供应商需在项目电子化交易系统中按要求上传相应证明文件并进行电子签章</w:t>
      </w:r>
    </w:p>
    <w:p>
      <w:pPr>
        <w:pStyle w:val="null3"/>
      </w:pPr>
      <w:r>
        <w:rPr>
          <w:rFonts w:ascii="仿宋_GB2312" w:hAnsi="仿宋_GB2312" w:cs="仿宋_GB2312" w:eastAsia="仿宋_GB2312"/>
        </w:rPr>
        <w:t>9、书面声明：供应商应具备良好的商业信誉，提供参加政府采购活动前3年内在经营活动中没有重大违法记录的书面声明，供应商需在项目电子化交易系统中按要求上传相应证明文件并进行电子签章；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10、不良行为查询：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网上查询结果为评审依据）；</w:t>
      </w:r>
    </w:p>
    <w:p>
      <w:pPr>
        <w:pStyle w:val="null3"/>
      </w:pPr>
      <w:r>
        <w:rPr>
          <w:rFonts w:ascii="仿宋_GB2312" w:hAnsi="仿宋_GB2312" w:cs="仿宋_GB2312" w:eastAsia="仿宋_GB2312"/>
        </w:rPr>
        <w:t>11、中小企业声明函：本项目专门面向小微企业采购，仅限符合《政府采购促进中小企业发展管理办法》（财库〔2020〕46号）条件的企业参与，供应商应填写中小企业声明函并对真实性负责（残疾人福利性单位及监狱企业视同为小型、微型企业），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西安市群众艺术馆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西安市文艺北路197号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西安市群众艺术馆经办王幸</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13572172159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陕西省西安市雁塔区雁翔路99号博源科技广场C座西交一八九六孵化器2046号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15129267024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采购包1：2,956,000.00元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代理服务费收费标准：（1）本项目招标代理服务费由成交供应商支付； （2）代理服务费收费标准：参照《招标代理服务收费管理暂行办法》(计价格(2002)1980号)文规定下浮5%收取。 （3）支付标准:按工程招标标准。 （4）采购代理服务费支付币种为人民币。 （5）单位名称：宏睿鹏达项目管理有限公司 （6）开户银行：招商银行西安西影路支行 （7）账号：129915887510505</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西安市群众艺术馆</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西安市群众艺术馆</w:t>
      </w:r>
      <w:r>
        <w:rPr>
          <w:rFonts w:ascii="仿宋_GB2312" w:hAnsi="仿宋_GB2312" w:cs="仿宋_GB2312" w:eastAsia="仿宋_GB2312"/>
        </w:rPr>
        <w:t>负责解释。除上述磋商文件内容，其他内容由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西安市群众艺术馆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一、按国家有关验收规范和验评标准，工程质量达到合格标准。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联系电话：15129267024</w:t>
      </w:r>
    </w:p>
    <w:p>
      <w:pPr>
        <w:pStyle w:val="null3"/>
      </w:pPr>
      <w:r>
        <w:rPr>
          <w:rFonts w:ascii="仿宋_GB2312" w:hAnsi="仿宋_GB2312" w:cs="仿宋_GB2312" w:eastAsia="仿宋_GB2312"/>
        </w:rPr>
        <w:t>地址：陕西省西安市雁塔区雁翔路99号博源科技广场C座西交一九八六孵化器2046号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2,956,000.00</w:t>
      </w:r>
    </w:p>
    <w:p>
      <w:pPr>
        <w:pStyle w:val="null3"/>
      </w:pPr>
      <w:r>
        <w:rPr>
          <w:rFonts w:ascii="仿宋_GB2312" w:hAnsi="仿宋_GB2312" w:cs="仿宋_GB2312" w:eastAsia="仿宋_GB2312"/>
        </w:rPr>
        <w:t>采购包最高限价（元）: 2,956,000.00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服务</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2,956,000.00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公共文化场馆安全隐患排除提升修缮项目施工服务</w:t>
            </w:r>
          </w:p>
        </w:tc>
        <w:tc>
          <w:tcPr>
            <w:tcW w:type="dxa" w:w="2076"/>
          </w:tcPr>
          <w:p>
            <w:pPr>
              <w:pStyle w:val="null3"/>
            </w:pPr>
            <w:r>
              <w:rPr>
                <w:rFonts w:ascii="仿宋_GB2312" w:hAnsi="仿宋_GB2312" w:cs="仿宋_GB2312" w:eastAsia="仿宋_GB2312"/>
              </w:rPr>
              <w:t xml:space="preserve">一、项目名称：公共文化场馆安全隐患排除提升修缮项目施工服务 </w:t>
            </w:r>
            <w:r>
              <w:br/>
            </w:r>
            <w:r>
              <w:rPr>
                <w:rFonts w:ascii="仿宋_GB2312" w:hAnsi="仿宋_GB2312" w:cs="仿宋_GB2312" w:eastAsia="仿宋_GB2312"/>
              </w:rPr>
              <w:t xml:space="preserve"> 二、项目地点：采购人指定地点 </w:t>
            </w:r>
            <w:r>
              <w:br/>
            </w:r>
            <w:r>
              <w:rPr>
                <w:rFonts w:ascii="仿宋_GB2312" w:hAnsi="仿宋_GB2312" w:cs="仿宋_GB2312" w:eastAsia="仿宋_GB2312"/>
              </w:rPr>
              <w:t xml:space="preserve"> 三、项目内容：本次安全隐患排除提升修缮项目涉及屋面防水、墙地面、顶棚、电梯、通风空调、给排水消防工程的改造，具体建设内容以施工图纸及工程量清单为准。</w:t>
            </w:r>
            <w:r>
              <w:br/>
            </w:r>
            <w:r>
              <w:rPr>
                <w:rFonts w:ascii="仿宋_GB2312" w:hAnsi="仿宋_GB2312" w:cs="仿宋_GB2312" w:eastAsia="仿宋_GB2312"/>
              </w:rPr>
              <w:t xml:space="preserve"> 四、工期要求：施工合同签订之日起210日历天内完成。 </w:t>
            </w:r>
            <w:r>
              <w:br/>
            </w:r>
            <w:r>
              <w:rPr>
                <w:rFonts w:ascii="仿宋_GB2312" w:hAnsi="仿宋_GB2312" w:cs="仿宋_GB2312" w:eastAsia="仿宋_GB2312"/>
              </w:rPr>
              <w:t xml:space="preserve"> 五、工程质量要求：按国家有关验收规范和验评标准，工程质量达到合格标准。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详见本项目施工图纸及工程量清单。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一、项目名称：公共文化场馆安全隐患排除提升修缮项目施工服务 二、项目地点：采购人指定地点 三、项目内容：本次安全隐患排除提升修缮项目涉及屋面防水、墙地面、顶棚、电梯、通风空调、给排水消防工程的改造，具体建设内容以施工图纸及工程量清单为准。 四、工期要求：施工合同签订之日起210日历天内完成。 五、工程质量要求：按国家有关验收规范和验评标准，工程质量达到合格标准。 六、施工计划：按照工程内容依次进行施工，由施工单位合理安排各分项工程的施工顺序和时间，施工过程中应及时清理建筑垃圾。 七、施工准备 1、依据采购人需求，确定本工程的实施范围和位置。 2、组织学习、熟悉施工图纸、领会设计意图和图纸会审工作。 3、对施工技术人员和操作工人组织培训学习，进行分级交底制施工进度控制实施细则，分解工程进度控制目标，明确各自职责，确保工期。 八、施工要求 1、严格执行国家现行规范、标准，严格按照设计要求组织施工。 2、明确职责，严格岗位责任，齐心协力做好工作，确保工程按计划进行。 3、加强管理，确保施工中的人员安全。 九、本项目采购标的所属行业为：建筑业。（按照《工信部、国家统计局、发改委、财政部、工信部联企业》中小企业划型标准（〔2011〕300号）规定：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十、编制依据：计价依据： 1、施工图纸等相关资料。2、《陕西省建设工程工程量清单计价规则2009》、《陕西省建设工程工程量清单计价费率2009》及相关的配套文件。3、陕建发【2017】270号《关于增加建设工程扬尘治理专项措施费及综合人工单价调整的通知》。4、陕建发【2019】45号《关于调整我省建设工程计价依据的通知》。5、陕建发【2019】1246号《关于发布我省落实建筑工人实名制管理计价依据的通知》。6、陕建发【2020】1097号《关于建筑施工安全生产责任保险费用计价的通知》。7、陕建发【2021】1021号《关于全省统一停止收缴建筑业劳保费用的通知》。8、陕建发【2021】1097号《关于调整房屋建筑和市政基础设施工程工程量清单计价综合人工单价的通知》。9、材料价参考《陕西工程造价信息》2024年第11期信息价并结合市场价。10、本工程计价软件采用广联达云计价平台GCCP6.0(陕西地区6.4100.23.121版本)。 十一、需要落实的政府采购政策：1)《政府采购促进中小企业发展管理办法》（财库〔2020〕46号）、《财政部关于进一步加大政府采购支持中小企业力度》的通知（财库〔2022〕19号）、《陕西省财政厅关于进一步加大政府采购支持中小企业力度的通知》（陕财办采〔2022〕5号）；2)《财政部司法部关于政府采购支持监狱企业发展有关问题的通知》（财库〔2014〕68号）；3)《财政部民政部中国残疾人联合会关于促进残疾人就业政府采购政策的通知》（财库〔2017〕141号）；4)《财政部国家发展改革委关于印发(节能产品政府采购实施意见)的通知》(财库〔2004〕185号)；5)《国务院办公厅关于建立政府强制采购节能产品制度的通知》(国办发〔2007〕51号)；6)《财政部环保总局关于环境标志产品政府采购实施的意见》(财库〔2006〕90号)；7)《财政部 发展改革委 生态环境部 市场监管总局关于调整优化节能产品、环境标志产品政府采购执行机制的通知》（财库〔2019〕9号）；8)《关于印发环境标志产品政府采购品目清单的通知》（财库〔2019〕18号）；9)《关于印发节能产品政府采购品目清单的通知》（财库〔2019〕19号）；10)《财政部、农业农村部、国家乡村振兴局关于运用政府采购政策支持乡村产业振兴的通知》（财库〔2021〕19号）；11)《陕西省财政厅关于印发陕西省中小企业政府采购信用融资办法》（陕财办采〔2018〕23号）；12)《陕西省财政厅关于加快推进我省中小企业政府采购信用融资工作的通知》（陕财办采〔2020〕15号）；13）《关于政府采购支持绿色建材促进建筑品质提升试点工作的通知》（财库〔2020〕31 号）；14）《财政部办公厅关于组织地方预算单位做好2023年政府采购脱贫地区农副产品工作的通知》（财办库〔2023〕45 号）；15）《财政部住房城乡建设部工业和信息化部关于扩大政府采购绿色建材促进建筑品质提升政策实施范围的通知》（财库〔2022〕35号）；16）其他需要落实的政府采购政策。 十二、施工图纸：另附电子版。 十三、工程量清单：另附电子版。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2023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具有独立承担民事责任能力的企业法人或其他组织，提供合法有效的（三证合一）统一社会信用代码的营业执照等证明文件，供应商需在项目电子化交易系统中按要求上传相应证明文件并进行电子签章；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法定代表人身份证明书及授权书</w:t>
            </w:r>
          </w:p>
        </w:tc>
        <w:tc>
          <w:tcPr>
            <w:tcW w:type="dxa" w:w="3322"/>
          </w:tcPr>
          <w:p>
            <w:pPr>
              <w:pStyle w:val="null3"/>
            </w:pPr>
            <w:r>
              <w:rPr>
                <w:rFonts w:ascii="仿宋_GB2312" w:hAnsi="仿宋_GB2312" w:cs="仿宋_GB2312" w:eastAsia="仿宋_GB2312"/>
              </w:rPr>
              <w:t>法定代表人直接投标须提交其身份证，法定代表人授权代表参加投标的，须出具授权书及被授权人身份证，供应商需在项目电子化交易系统中按要求上传相应证明文件并进行电子签章；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法定代表人授权委托书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供应商须提供2023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税收缴纳凭证</w:t>
            </w:r>
          </w:p>
        </w:tc>
        <w:tc>
          <w:tcPr>
            <w:tcW w:type="dxa" w:w="3322"/>
          </w:tcPr>
          <w:p>
            <w:pPr>
              <w:pStyle w:val="null3"/>
            </w:pPr>
            <w:r>
              <w:rPr>
                <w:rFonts w:ascii="仿宋_GB2312" w:hAnsi="仿宋_GB2312" w:cs="仿宋_GB2312" w:eastAsia="仿宋_GB2312"/>
              </w:rPr>
              <w:t>供应商须提供投标截止时间前六个月内任意一个月的税收缴纳凭证（注：依法免税或零申报的供应商应提供相关文件证明；若为新成立企业须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社保缴纳凭证</w:t>
            </w:r>
          </w:p>
        </w:tc>
        <w:tc>
          <w:tcPr>
            <w:tcW w:type="dxa" w:w="3322"/>
          </w:tcPr>
          <w:p>
            <w:pPr>
              <w:pStyle w:val="null3"/>
            </w:pPr>
            <w:r>
              <w:rPr>
                <w:rFonts w:ascii="仿宋_GB2312" w:hAnsi="仿宋_GB2312" w:cs="仿宋_GB2312" w:eastAsia="仿宋_GB2312"/>
              </w:rPr>
              <w:t>供应商须提供投标截止时间前六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供应商须具备建筑工程施工总承包三级及以上资质，在有效期内，且具备有效的安全生产许可证（原件或复印件加盖供应商公章），供应商需在项目电子化交易系统中按要求上传相应证明文件并进行电子签章；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拟派项目经理须具备建筑工程专业二级及以上注册建造师资质，在有效期内，且具备有效的安全生产考核合格证书（B证），并提供项目经理无其他在建工程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项目经理无在建工程、无不良记录承诺书</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具有履行合同所必需的设备和专业技术能力承诺函 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信誉情况书面声明函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不良行为查询</w:t>
            </w:r>
          </w:p>
        </w:tc>
        <w:tc>
          <w:tcPr>
            <w:tcW w:type="dxa" w:w="3322"/>
          </w:tcPr>
          <w:p>
            <w:pPr>
              <w:pStyle w:val="null3"/>
            </w:pPr>
            <w:r>
              <w:rPr>
                <w:rFonts w:ascii="仿宋_GB2312" w:hAnsi="仿宋_GB2312" w:cs="仿宋_GB2312" w:eastAsia="仿宋_GB2312"/>
              </w:rPr>
              <w:t>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网上查询结果为评审依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小微企业采购，仅限符合《政府采购促进中小企业发展管理办法》（财库〔2020〕46号）条件的企业参与，供应商应填写中小企业声明函并对真实性负责（残疾人福利性单位及监狱企业视同为小型、微型企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投标文件中项目名称、项目编号、合同包号与本项目一致，无遗漏；</w:t>
            </w:r>
          </w:p>
        </w:tc>
        <w:tc>
          <w:tcPr>
            <w:tcW w:type="dxa" w:w="1661"/>
          </w:tcPr>
          <w:p>
            <w:pPr>
              <w:pStyle w:val="null3"/>
            </w:pPr>
            <w:r>
              <w:rPr>
                <w:rFonts w:ascii="仿宋_GB2312" w:hAnsi="仿宋_GB2312" w:cs="仿宋_GB2312" w:eastAsia="仿宋_GB2312"/>
              </w:rPr>
              <w:t>已标价工程量清单 法定代表人授权委托书 技术响应方案 中小企业声明函 技术服务合同条款及其他商务要求应答表 供应商应提交的相关资格证明材料 响应文件封面 项目管理机构组成表 报价函 具有履行合同所必需的设备和专业技术能力承诺函 标的清单 项目经理无在建工程、无不良记录承诺书 供应商承诺书 响应函 主要人员简历表 信誉情况书面声明函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投标文件签署、盖章及投标有效期符合招标文件要求；</w:t>
            </w:r>
          </w:p>
        </w:tc>
        <w:tc>
          <w:tcPr>
            <w:tcW w:type="dxa" w:w="1661"/>
          </w:tcPr>
          <w:p>
            <w:pPr>
              <w:pStyle w:val="null3"/>
            </w:pPr>
            <w:r>
              <w:rPr>
                <w:rFonts w:ascii="仿宋_GB2312" w:hAnsi="仿宋_GB2312" w:cs="仿宋_GB2312" w:eastAsia="仿宋_GB2312"/>
              </w:rPr>
              <w:t>已标价工程量清单 法定代表人授权委托书 技术响应方案 中小企业声明函 技术服务合同条款及其他商务要求应答表 供应商应提交的相关资格证明材料 强制优先采购产品承诺函 响应文件封面 项目管理机构组成表 残疾人福利性单位声明函 报价函 具有履行合同所必需的设备和专业技术能力承诺函 标的清单 项目经理无在建工程、无不良记录承诺书 供应商类似项目业绩一览表 供应商承诺书 响应函 主要人员简历表 监狱企业的证明文件 信誉情况书面声明函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投标报价符合唯一性要求</w:t>
            </w:r>
          </w:p>
        </w:tc>
        <w:tc>
          <w:tcPr>
            <w:tcW w:type="dxa" w:w="3322"/>
          </w:tcPr>
          <w:p>
            <w:pPr>
              <w:pStyle w:val="null3"/>
            </w:pPr>
            <w:r>
              <w:rPr>
                <w:rFonts w:ascii="仿宋_GB2312" w:hAnsi="仿宋_GB2312" w:cs="仿宋_GB2312" w:eastAsia="仿宋_GB2312"/>
              </w:rPr>
              <w:t>投标报价符合唯一性要求；投标报价未超出采购预算或采购最高限价；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投标内容与要求</w:t>
            </w:r>
          </w:p>
        </w:tc>
        <w:tc>
          <w:tcPr>
            <w:tcW w:type="dxa" w:w="3322"/>
          </w:tcPr>
          <w:p>
            <w:pPr>
              <w:pStyle w:val="null3"/>
            </w:pPr>
            <w:r>
              <w:rPr>
                <w:rFonts w:ascii="仿宋_GB2312" w:hAnsi="仿宋_GB2312" w:cs="仿宋_GB2312" w:eastAsia="仿宋_GB2312"/>
              </w:rPr>
              <w:t>投标内容未出现漏项；数量与要求相符；</w:t>
            </w:r>
          </w:p>
        </w:tc>
        <w:tc>
          <w:tcPr>
            <w:tcW w:type="dxa" w:w="1661"/>
          </w:tcPr>
          <w:p>
            <w:pPr>
              <w:pStyle w:val="null3"/>
            </w:pPr>
            <w:r>
              <w:rPr>
                <w:rFonts w:ascii="仿宋_GB2312" w:hAnsi="仿宋_GB2312" w:cs="仿宋_GB2312" w:eastAsia="仿宋_GB2312"/>
              </w:rPr>
              <w:t>已标价工程量清单 法定代表人授权委托书 技术响应方案 中小企业声明函 技术服务合同条款及其他商务要求应答表 供应商应提交的相关资格证明材料 响应文件封面 项目管理机构组成表 报价函 具有履行合同所必需的设备和专业技术能力承诺函 标的清单 项目经理无在建工程、无不良记录承诺书 供应商类似项目业绩一览表 供应商承诺书 响应函 主要人员简历表 信誉情况书面声明函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“无效投标”的情形及未实质性响应招标文件的情况</w:t>
            </w:r>
          </w:p>
        </w:tc>
        <w:tc>
          <w:tcPr>
            <w:tcW w:type="dxa" w:w="3322"/>
          </w:tcPr>
          <w:p>
            <w:pPr>
              <w:pStyle w:val="null3"/>
            </w:pPr>
            <w:r>
              <w:rPr>
                <w:rFonts w:ascii="仿宋_GB2312" w:hAnsi="仿宋_GB2312" w:cs="仿宋_GB2312" w:eastAsia="仿宋_GB2312"/>
              </w:rPr>
              <w:t>没有出现法律法规或招标文件明确规定的其他被视为“无效投标”的情形及未实质性响应招标文件的情况。</w:t>
            </w:r>
          </w:p>
        </w:tc>
        <w:tc>
          <w:tcPr>
            <w:tcW w:type="dxa" w:w="1661"/>
          </w:tcPr>
          <w:p>
            <w:pPr>
              <w:pStyle w:val="null3"/>
            </w:pPr>
            <w:r>
              <w:rPr>
                <w:rFonts w:ascii="仿宋_GB2312" w:hAnsi="仿宋_GB2312" w:cs="仿宋_GB2312" w:eastAsia="仿宋_GB2312"/>
              </w:rPr>
              <w:t>已标价工程量清单 法定代表人授权委托书 技术响应方案 中小企业声明函 技术服务合同条款及其他商务要求应答表 供应商应提交的相关资格证明材料 强制优先采购产品承诺函 响应文件封面 项目管理机构组成表 残疾人福利性单位声明函 报价函 具有履行合同所必需的设备和专业技术能力承诺函 标的清单 项目经理无在建工程、无不良记录承诺书 供应商类似项目业绩一览表 供应商承诺书 响应函 主要人员简历表 监狱企业的证明文件 信誉情况书面声明函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一、施工总体方案</w:t>
            </w:r>
          </w:p>
        </w:tc>
        <w:tc>
          <w:tcPr>
            <w:tcW w:type="dxa" w:w="2492"/>
          </w:tcPr>
          <w:p>
            <w:pPr>
              <w:pStyle w:val="null3"/>
            </w:pPr>
            <w:r>
              <w:rPr>
                <w:rFonts w:ascii="仿宋_GB2312" w:hAnsi="仿宋_GB2312" w:cs="仿宋_GB2312" w:eastAsia="仿宋_GB2312"/>
              </w:rPr>
              <w:t>内容包括但不限于①施工准备；②施工进度安排;③施工方法；④重点难点工程分析及解决措施； ⑤影响正常施工外在因素分析及对应预案等。 评审标准：（1）施工方案专门针对本项目编制，符合项目实际情况及实施要求，内容详尽且涵盖角度全面，合理性和可行性强，能够保障项目顺利实施的，得10分; （2）施工方案能够针对本项目编制，符合项目实际情况及实施要求，内容详尽且涵盖角度基本全面，有一定的合理性和可行性的，得8分; （3）施工方案基本能够针对本项目编制，基本符合项目实际情况及实施要求，内容较宽泛，涵盖角度不够全面，内容基本合理可行的，得6分; （4）具有方案内容但内容未贴合本项目，内容涵盖角度不够全面且实施有难度的，得4分; （5）具有方案内容但内容未针对本项目，内容空洞宽泛，基本不具有可实施性，得2分; （6）未提供方案内容不得分。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二、工程质量的技术组织措施</w:t>
            </w:r>
          </w:p>
        </w:tc>
        <w:tc>
          <w:tcPr>
            <w:tcW w:type="dxa" w:w="2492"/>
          </w:tcPr>
          <w:p>
            <w:pPr>
              <w:pStyle w:val="null3"/>
            </w:pPr>
            <w:r>
              <w:rPr>
                <w:rFonts w:ascii="仿宋_GB2312" w:hAnsi="仿宋_GB2312" w:cs="仿宋_GB2312" w:eastAsia="仿宋_GB2312"/>
              </w:rPr>
              <w:t>内容包括但不限于①质量管理工作流程；②工程质量保障方案；③工程质量控制体系； ④材料和构配件的质量控制等；⑤施工检测及工序交验方案等。 评审标准：（1）措施内容专门针对本项目编制，符合项目实际情况及实施要求，内容详尽且涵盖角度全面，合理性和可行性强，能够保障项目顺利实施的，得10分; （2）措施内容能够针对本项目编制，符合项目实际情况及实施要求，内容详尽且涵盖角度基本全面，有一定的合理性和可行性的，得8分; （3）措施内容基本能够针对本项目编制，基本符合项目实际情况及实施要求，内容较详细，涵盖角度较全面，基本合理可行的，得6分; （4）具有措施内容但措施内容未贴合本项目，措施内容涵盖角度不全面且实施有难度的，得4分; （5）具有措施内容但内容未针对本项目，内容空洞宽泛，可实施性不强，得2分; （6）未提供措施内容不得分。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三、安全生产技术组织措施</w:t>
            </w:r>
          </w:p>
        </w:tc>
        <w:tc>
          <w:tcPr>
            <w:tcW w:type="dxa" w:w="2492"/>
          </w:tcPr>
          <w:p>
            <w:pPr>
              <w:pStyle w:val="null3"/>
            </w:pPr>
            <w:r>
              <w:rPr>
                <w:rFonts w:ascii="仿宋_GB2312" w:hAnsi="仿宋_GB2312" w:cs="仿宋_GB2312" w:eastAsia="仿宋_GB2312"/>
              </w:rPr>
              <w:t>内容包括但不限于①安全生产管 理制度；②配置安全组织机构；③安全隐患排查、整改制度；④应急救援机制等。 评审标准：（1）措施内容专门针对本项目编制，符合项目实际情况及实施要求，内容详尽且涵盖角度全面，合理性和可行性强，能够保障项目顺利实施的，得10分; （2）措施内容能够针对本项目编制，符合项目实际情况及实施要求，内容详尽且涵盖角度基本全面，有一定的合理性和可行性的，得8分; （3）措施内容基本能够针对本项目编制，基本符合项目实际情况及实施要求，内容较详细，涵盖角度较全面，基本合理可行的，得6分; （4）具有措施内容但措施内容未贴合本项目，措施内容涵盖角度不全面且实施有难度的，得4分; （5）具有措施内容但内容未针对本项目，内容空洞宽泛，可实施性不强，得2分; （6）未提供措施内容不得分。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四、文明施工及环境保护组织措施</w:t>
            </w:r>
          </w:p>
        </w:tc>
        <w:tc>
          <w:tcPr>
            <w:tcW w:type="dxa" w:w="2492"/>
          </w:tcPr>
          <w:p>
            <w:pPr>
              <w:pStyle w:val="null3"/>
            </w:pPr>
            <w:r>
              <w:rPr>
                <w:rFonts w:ascii="仿宋_GB2312" w:hAnsi="仿宋_GB2312" w:cs="仿宋_GB2312" w:eastAsia="仿宋_GB2312"/>
              </w:rPr>
              <w:t>内容包括但不限于①文明及环境保护管理制度； ②防尘降噪措施； ③节能减排措施； ④文明及环境保护施工监督检查机制等。 评审标准：（1）措施内容专门针对本项目编制，符合项目实际情况及实施要求，内容详尽且涵盖角度全面，合理性和可行性强，能够保障项目顺利实施的，得10分; （2）措施内容能够针对本项目编制，符合项目实际情况及实施要求，内容详尽且涵盖角度基本全面，有一定的合理性和可行性的，得8分; （3）措施内容基本能够针对本项目编制，基本符合项目实际情况及实施要求，内容较详细，涵盖角度较全面，基本合理可行的，得6分; （4）具有措施内容但措施内容未贴合本项目，措施内容涵盖角度不全面且实施有难度的，得4分; （5）具有措施内容但内容未针对本项目，内容空洞宽泛，可实施性不强，得2分; （6）未提供措施内容不得分。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五、施工组织和项目管理机构</w:t>
            </w:r>
          </w:p>
        </w:tc>
        <w:tc>
          <w:tcPr>
            <w:tcW w:type="dxa" w:w="2492"/>
          </w:tcPr>
          <w:p>
            <w:pPr>
              <w:pStyle w:val="null3"/>
            </w:pPr>
            <w:r>
              <w:rPr>
                <w:rFonts w:ascii="仿宋_GB2312" w:hAnsi="仿宋_GB2312" w:cs="仿宋_GB2312" w:eastAsia="仿宋_GB2312"/>
              </w:rPr>
              <w:t>内容包括但不限于①项目管理机构图;②岗位安排及职责（配备技术人员、施工员、安全员、资料员、材料员、质量员等）；③管理制度；④相应的协调措施等。 评审标准：（1）项目部组成科学合理、人员表配置充足，有详细的人员配置清单，针对性强，能够很好的满足项目需求，得10分；（2）项目部组成基本合理、人员表配置基本齐全，具有人员配置清单，有一定的针对性，能够满足项目需求，得8分；（3）提供项目部组成情况，配置基本合理但组成不全面得6分；（4）项目部组成人员缺乏科学合理性，无人员配置清单，无法满足项目需求，得4分；（5）项目部组成内容简单笼统得2分； （6）未提供项目部组成不得分。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六、施工机械配置和材料投入计划</w:t>
            </w:r>
          </w:p>
        </w:tc>
        <w:tc>
          <w:tcPr>
            <w:tcW w:type="dxa" w:w="2492"/>
          </w:tcPr>
          <w:p>
            <w:pPr>
              <w:pStyle w:val="null3"/>
            </w:pPr>
            <w:r>
              <w:rPr>
                <w:rFonts w:ascii="仿宋_GB2312" w:hAnsi="仿宋_GB2312" w:cs="仿宋_GB2312" w:eastAsia="仿宋_GB2312"/>
              </w:rPr>
              <w:t>内容包括但不限于①施工机械配置计划； ②施工材料投入计划； ③施工机械的维护保养和材料的贮存； ④施工机械、材料的监督和检查等。 评审标准：（1）投入计划专门针对本项目编制，符合项目实际情况及实施要求，内容详尽且涵盖角度全面，合理性和可行性强，能够保障项目顺利实施的，得10分; （2）投入计划基本针对本项目编制，符合项目实际情况及实施要求，内容详尽且涵盖角度基本全面，有一定的合理性和可行性的，得8分; （3）投入计划能够针对本项目编制，基本符合项目实际情况及实施要求，内容较详细，涵盖角度较全面但略有不完善，基本合理可行的，得6分; （4）提供投入计划，但内容涵盖角度不够全面且实施具有一定难度，得4分; （5）投入计划内容简单笼统，实施难度大的，得2分; （6）未提供投入计划内容不得分。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七、施工部署与进度计划</w:t>
            </w:r>
          </w:p>
        </w:tc>
        <w:tc>
          <w:tcPr>
            <w:tcW w:type="dxa" w:w="2492"/>
          </w:tcPr>
          <w:p>
            <w:pPr>
              <w:pStyle w:val="null3"/>
            </w:pPr>
            <w:r>
              <w:rPr>
                <w:rFonts w:ascii="仿宋_GB2312" w:hAnsi="仿宋_GB2312" w:cs="仿宋_GB2312" w:eastAsia="仿宋_GB2312"/>
              </w:rPr>
              <w:t>内容包括但不限于①施工总平面布置；②进度安排计划； ③工期目标控制和保证措施； ④材料供应措施；⑤成品、半成品保护监管措施等。 评审标准：（1）网络图或进度表内容详尽、工期目标及措施安排合理且实施性强计10分；（2）网络图或进度表内容详尽、工期目标及措施安排合理且实施性较强计8分；（3）提供网络图或进度表内容、工期目标及措施安排基本合理实施性缺乏计6分；（4）提供网络图或进度表，工期目标及措施内容不够全面，实施性不强计4分；（5）提供网络图或进度表，工期目标及措施内容不合理，不具有实施性计2分。（6）未提供网络图或进度表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八、新材料应用及扬尘预防措施</w:t>
            </w:r>
          </w:p>
        </w:tc>
        <w:tc>
          <w:tcPr>
            <w:tcW w:type="dxa" w:w="2492"/>
          </w:tcPr>
          <w:p>
            <w:pPr>
              <w:pStyle w:val="null3"/>
            </w:pPr>
            <w:r>
              <w:rPr>
                <w:rFonts w:ascii="仿宋_GB2312" w:hAnsi="仿宋_GB2312" w:cs="仿宋_GB2312" w:eastAsia="仿宋_GB2312"/>
              </w:rPr>
              <w:t>内容包括但不限于新技术、新产品、新工艺、新材料应用、施工现场扬尘预防措施。 评审标准：（1）新技术及措施内容专门针对本项目编制，符合项目实际情况及实施要求，内容详尽且涵盖角度全面，合理性和可行性强，能够保障项目顺利实施的，得5分; （2）新技术及措施内容能够针对本项目编制，符合项目实际情况及实施要求，内容详尽且涵盖角度基本全面，有一定的合理性和可行性的，得4分; （3）新技术及措施内容基本能够针对本项目编制，基本符合项目实际情况及实施要求，内容较详细，涵盖角度较全面，基本合理可行的，得3分; （4）具有新技术及措施内容但措施内容未贴合本项目，措施内容涵盖角度不全面且实施有难度的，得2分; （5）具有新技术及措施内容但内容未针对本项目，内容空洞宽泛，可实施性不强，得1分; （6）未提供新技术及措施内容不得分。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九、近三年类似业绩要求</w:t>
            </w:r>
          </w:p>
        </w:tc>
        <w:tc>
          <w:tcPr>
            <w:tcW w:type="dxa" w:w="2492"/>
          </w:tcPr>
          <w:p>
            <w:pPr>
              <w:pStyle w:val="null3"/>
            </w:pPr>
            <w:r>
              <w:rPr>
                <w:rFonts w:ascii="仿宋_GB2312" w:hAnsi="仿宋_GB2312" w:cs="仿宋_GB2312" w:eastAsia="仿宋_GB2312"/>
              </w:rPr>
              <w:t>提供近三年（2022年3月1日至今）类似项目业绩，每提供一个类似项目业绩计5分，满分5分（以施工合同为准，时间以合同内时间为准，提供复印件加盖供应商公章）。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技术响应方案</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满足磋商文件要求且最后报价最低的供应商的价格为磋商基准价，其价格分为满分。其他供应商的价格分统一按照下列公式计算：磋商报价得分=（磋商基准价/最后磋商报价）×20 备注：当评审委员会认为某个供应商的报价明显低于其他通过符合性审查供应商的报价，有可能影响工程质量和不能诚信履约的，应要求该供应商在评标现场合理的时间内提供书面说明，必要时提交相关证明材料；供应商不能证明其报价合理的，评审委员会将其作为无效磋商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详见附件：技术响应方案</w:t>
      </w:r>
    </w:p>
    <w:p>
      <w:pPr>
        <w:pStyle w:val="null3"/>
        <w:ind w:firstLine="960"/>
      </w:pPr>
      <w:r>
        <w:rPr>
          <w:rFonts w:ascii="仿宋_GB2312" w:hAnsi="仿宋_GB2312" w:cs="仿宋_GB2312" w:eastAsia="仿宋_GB2312"/>
        </w:rPr>
        <w:t>详见附件：具有履行合同所必需的设备和专业技术能力承诺函</w:t>
      </w:r>
    </w:p>
    <w:p>
      <w:pPr>
        <w:pStyle w:val="null3"/>
        <w:ind w:firstLine="960"/>
      </w:pPr>
      <w:r>
        <w:rPr>
          <w:rFonts w:ascii="仿宋_GB2312" w:hAnsi="仿宋_GB2312" w:cs="仿宋_GB2312" w:eastAsia="仿宋_GB2312"/>
        </w:rPr>
        <w:t>详见附件：信誉情况书面声明函</w:t>
      </w:r>
    </w:p>
    <w:p>
      <w:pPr>
        <w:pStyle w:val="null3"/>
        <w:ind w:firstLine="960"/>
      </w:pPr>
      <w:r>
        <w:rPr>
          <w:rFonts w:ascii="仿宋_GB2312" w:hAnsi="仿宋_GB2312" w:cs="仿宋_GB2312" w:eastAsia="仿宋_GB2312"/>
        </w:rPr>
        <w:t>详见附件：项目经理无在建工程、无不良记录承诺书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详见附件：拟签订施工合同文本.docx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