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版本号：PHPM-ZC-2520120250411001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西安市莲湖区人民法院安检辅助项目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PHPM-ZC-25201</w:t>
      </w:r>
      <w:r>
        <w:br/>
      </w:r>
      <w:r>
        <w:br/>
      </w:r>
      <w:r>
        <w:br/>
      </w:r>
    </w:p>
    <w:p>
      <w:pPr>
        <w:pStyle w:val="null3"/>
        <w:jc w:val="center"/>
        <w:outlineLvl w:val="2"/>
      </w:pPr>
      <w:r>
        <w:rPr>
          <w:rFonts w:ascii="仿宋_GB2312" w:hAnsi="仿宋_GB2312" w:cs="仿宋_GB2312" w:eastAsia="仿宋_GB2312"/>
          <w:sz w:val="28"/>
          <w:b/>
        </w:rPr>
        <w:t>西安市莲湖区人民法院[155]</w:t>
      </w:r>
    </w:p>
    <w:p>
      <w:pPr>
        <w:pStyle w:val="null3"/>
        <w:jc w:val="center"/>
        <w:outlineLvl w:val="2"/>
      </w:pPr>
      <w:r>
        <w:rPr>
          <w:rFonts w:ascii="仿宋_GB2312" w:hAnsi="仿宋_GB2312" w:cs="仿宋_GB2312" w:eastAsia="仿宋_GB2312"/>
          <w:sz w:val="28"/>
          <w:b/>
        </w:rPr>
        <w:t>陕西普华项目管理有限公司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陕西普华项目管理有限公司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西安市莲湖区人民法院[155]</w:t>
      </w:r>
      <w:r>
        <w:rPr>
          <w:rFonts w:ascii="仿宋_GB2312" w:hAnsi="仿宋_GB2312" w:cs="仿宋_GB2312" w:eastAsia="仿宋_GB2312"/>
        </w:rPr>
        <w:t>委托，拟对</w:t>
      </w:r>
      <w:r>
        <w:rPr>
          <w:rFonts w:ascii="仿宋_GB2312" w:hAnsi="仿宋_GB2312" w:cs="仿宋_GB2312" w:eastAsia="仿宋_GB2312"/>
        </w:rPr>
        <w:t>西安市莲湖区人民法院安检辅助项目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PHPM-ZC-25201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西安市莲湖区人民法院安检辅助项目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辅助西安市莲湖区人民法院法警对案件当事人、律师、外来访客等进出安检工作，确保全院各服务点门禁管理及维护办公区的正常秩序，对来访人员的登记安全检查等工作。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采购包1（西安市莲湖区人民法院安检辅助项目）：属于专门面向中小企业采购。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1、供应商特定资格条件：1.供应商应具有公安机关颁发的《保安服务许可证》。外省企业还须出具承诺书（承诺书形式不限），承诺自承接本项目之日起在规定时间内向项目所在地公安机关备案； 2.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西安市莲湖区人民法院[155]</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西安市莲湖区西大街柴家什字88号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029-87619243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陕西普华项目管理有限公司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陕西省西安市高新区化龙三路东方米兰国际城西门五号商铺四楼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18992310446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文规定的收费标准进行收费。 开户名称：陕西普华项目管理有限公司 开户银行：中国民生银行股份有限公司西安太白路支行 银行账号：638911993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西安市莲湖区人民法院[155]</w:t>
      </w:r>
      <w:r>
        <w:rPr>
          <w:rFonts w:ascii="仿宋_GB2312" w:hAnsi="仿宋_GB2312" w:cs="仿宋_GB2312" w:eastAsia="仿宋_GB2312"/>
        </w:rPr>
        <w:t>和</w:t>
      </w:r>
      <w:r>
        <w:rPr>
          <w:rFonts w:ascii="仿宋_GB2312" w:hAnsi="仿宋_GB2312" w:cs="仿宋_GB2312" w:eastAsia="仿宋_GB2312"/>
        </w:rPr>
        <w:t>陕西普华项目管理有限公司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西安市莲湖区人民法院[155]</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陕西普华项目管理有限公司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西安市莲湖区人民法院[155]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陕西普华项目管理有限公司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联系人：张小怡</w:t>
      </w:r>
    </w:p>
    <w:p>
      <w:pPr>
        <w:pStyle w:val="null3"/>
      </w:pPr>
      <w:r>
        <w:rPr>
          <w:rFonts w:ascii="仿宋_GB2312" w:hAnsi="仿宋_GB2312" w:cs="仿宋_GB2312" w:eastAsia="仿宋_GB2312"/>
        </w:rPr>
        <w:t>联系电话：18992310446</w:t>
      </w:r>
    </w:p>
    <w:p>
      <w:pPr>
        <w:pStyle w:val="null3"/>
      </w:pPr>
      <w:r>
        <w:rPr>
          <w:rFonts w:ascii="仿宋_GB2312" w:hAnsi="仿宋_GB2312" w:cs="仿宋_GB2312" w:eastAsia="仿宋_GB2312"/>
        </w:rPr>
        <w:t>地址：陕西省西安市高新区化龙三路东方米兰国际城西门五号商铺四楼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辅助西安市莲湖区人民法院法警对案件当事人、律师、外来访客等进出安检工作，确保全院各服务点门禁管理及维护办公区的正常秩序，对来访人员的登记安全检查等工作。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754,100.00</w:t>
      </w:r>
    </w:p>
    <w:p>
      <w:pPr>
        <w:pStyle w:val="null3"/>
      </w:pPr>
      <w:r>
        <w:rPr>
          <w:rFonts w:ascii="仿宋_GB2312" w:hAnsi="仿宋_GB2312" w:cs="仿宋_GB2312" w:eastAsia="仿宋_GB2312"/>
        </w:rPr>
        <w:t>采购包最高限价（元）: 754,100.00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754100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标的名称：754100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392"/>
              <w:jc w:val="left"/>
            </w:pPr>
            <w:r>
              <w:rPr>
                <w:rFonts w:ascii="仿宋_GB2312" w:hAnsi="仿宋_GB2312" w:cs="仿宋_GB2312" w:eastAsia="仿宋_GB2312"/>
                <w:sz w:val="21"/>
              </w:rPr>
              <w:t>一、基本情况</w:t>
            </w:r>
          </w:p>
          <w:p>
            <w:pPr>
              <w:pStyle w:val="null3"/>
              <w:ind w:firstLine="392"/>
              <w:jc w:val="left"/>
            </w:pPr>
            <w:r>
              <w:rPr>
                <w:rFonts w:ascii="仿宋_GB2312" w:hAnsi="仿宋_GB2312" w:cs="仿宋_GB2312" w:eastAsia="仿宋_GB2312"/>
                <w:sz w:val="21"/>
              </w:rPr>
              <w:t>辅助西安市莲湖区人民法院法警对案件当事人、律师、外来访客等进出安检工作，确保全院各服务点门禁管理及维护办公区的正常秩序，对来访人员的登记安全检查等工作。</w:t>
            </w:r>
          </w:p>
          <w:p>
            <w:pPr>
              <w:pStyle w:val="null3"/>
              <w:ind w:firstLine="392"/>
              <w:jc w:val="left"/>
            </w:pPr>
            <w:r>
              <w:rPr>
                <w:rFonts w:ascii="仿宋_GB2312" w:hAnsi="仿宋_GB2312" w:cs="仿宋_GB2312" w:eastAsia="仿宋_GB2312"/>
                <w:sz w:val="21"/>
              </w:rPr>
              <w:t>二、招标要求</w:t>
            </w:r>
            <w:r>
              <w:rPr>
                <w:rFonts w:ascii="仿宋_GB2312" w:hAnsi="仿宋_GB2312" w:cs="仿宋_GB2312" w:eastAsia="仿宋_GB2312"/>
                <w:sz w:val="21"/>
              </w:rPr>
              <w:t>(服务要求)</w:t>
            </w:r>
          </w:p>
          <w:p>
            <w:pPr>
              <w:pStyle w:val="null3"/>
              <w:ind w:firstLine="392"/>
              <w:jc w:val="left"/>
            </w:pPr>
            <w:r>
              <w:rPr>
                <w:rFonts w:ascii="仿宋_GB2312" w:hAnsi="仿宋_GB2312" w:cs="仿宋_GB2312" w:eastAsia="仿宋_GB2312"/>
                <w:sz w:val="21"/>
              </w:rPr>
              <w:t>安检工作要按照周密组织、严密措施、分区管理、确保重点、安全有序的原则，安检工作必须严格规范，严格按照相关法律法规和安检程序对所有进出的当事人查验有效证件、登记、例行安全检查，确保不漏一人，无违禁物品进入工作区内，发现特殊情况及时上报，及时处理。</w:t>
            </w:r>
          </w:p>
          <w:p>
            <w:pPr>
              <w:pStyle w:val="null3"/>
              <w:ind w:firstLine="392"/>
              <w:jc w:val="left"/>
            </w:pPr>
            <w:r>
              <w:rPr>
                <w:rFonts w:ascii="仿宋_GB2312" w:hAnsi="仿宋_GB2312" w:cs="仿宋_GB2312" w:eastAsia="仿宋_GB2312"/>
                <w:sz w:val="21"/>
              </w:rPr>
              <w:t>三、具体工作位置及安检人员布置</w:t>
            </w:r>
          </w:p>
          <w:p>
            <w:pPr>
              <w:pStyle w:val="null3"/>
              <w:ind w:firstLine="392"/>
              <w:jc w:val="left"/>
            </w:pPr>
            <w:r>
              <w:rPr>
                <w:rFonts w:ascii="仿宋_GB2312" w:hAnsi="仿宋_GB2312" w:cs="仿宋_GB2312" w:eastAsia="仿宋_GB2312"/>
                <w:sz w:val="21"/>
              </w:rPr>
              <w:t>总人数：</w:t>
            </w:r>
            <w:r>
              <w:rPr>
                <w:rFonts w:ascii="仿宋_GB2312" w:hAnsi="仿宋_GB2312" w:cs="仿宋_GB2312" w:eastAsia="仿宋_GB2312"/>
                <w:sz w:val="21"/>
              </w:rPr>
              <w:t>14</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其中：</w:t>
            </w:r>
            <w:r>
              <w:rPr>
                <w:rFonts w:ascii="仿宋_GB2312" w:hAnsi="仿宋_GB2312" w:cs="仿宋_GB2312" w:eastAsia="仿宋_GB2312"/>
                <w:sz w:val="21"/>
              </w:rPr>
              <w:t>①院本部4</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执行局</w:t>
            </w:r>
            <w:r>
              <w:rPr>
                <w:rFonts w:ascii="仿宋_GB2312" w:hAnsi="仿宋_GB2312" w:cs="仿宋_GB2312" w:eastAsia="仿宋_GB2312"/>
                <w:sz w:val="21"/>
              </w:rPr>
              <w:t>2人</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庙后街法庭</w:t>
            </w:r>
            <w:r>
              <w:rPr>
                <w:rFonts w:ascii="仿宋_GB2312" w:hAnsi="仿宋_GB2312" w:cs="仿宋_GB2312" w:eastAsia="仿宋_GB2312"/>
                <w:sz w:val="21"/>
              </w:rPr>
              <w:t>2人；④诉讼服务中心2人；⑤大兴法庭2人；⑥枣园法庭2人</w:t>
            </w:r>
            <w:r>
              <w:rPr>
                <w:rFonts w:ascii="仿宋_GB2312" w:hAnsi="仿宋_GB2312" w:cs="仿宋_GB2312" w:eastAsia="仿宋_GB2312"/>
                <w:sz w:val="21"/>
              </w:rPr>
              <w:t>。</w:t>
            </w:r>
          </w:p>
          <w:p>
            <w:pPr>
              <w:pStyle w:val="null3"/>
              <w:ind w:firstLine="392"/>
              <w:jc w:val="left"/>
            </w:pPr>
            <w:r>
              <w:rPr>
                <w:rFonts w:ascii="仿宋_GB2312" w:hAnsi="仿宋_GB2312" w:cs="仿宋_GB2312" w:eastAsia="仿宋_GB2312"/>
                <w:sz w:val="21"/>
              </w:rPr>
              <w:t>四、人员要求</w:t>
            </w:r>
          </w:p>
          <w:p>
            <w:pPr>
              <w:pStyle w:val="null3"/>
              <w:ind w:firstLine="392"/>
              <w:jc w:val="left"/>
            </w:pPr>
            <w:r>
              <w:rPr>
                <w:rFonts w:ascii="仿宋_GB2312" w:hAnsi="仿宋_GB2312" w:cs="仿宋_GB2312" w:eastAsia="仿宋_GB2312"/>
                <w:sz w:val="21"/>
              </w:rPr>
              <w:t>1、热爱本职工作，认真履行职责，忠于职守、服从命令、听从指挥、身体健康、品行良好；</w:t>
            </w:r>
          </w:p>
          <w:p>
            <w:pPr>
              <w:pStyle w:val="null3"/>
              <w:ind w:firstLine="392"/>
              <w:jc w:val="left"/>
            </w:pPr>
            <w:r>
              <w:rPr>
                <w:rFonts w:ascii="仿宋_GB2312" w:hAnsi="仿宋_GB2312" w:cs="仿宋_GB2312" w:eastAsia="仿宋_GB2312"/>
                <w:sz w:val="21"/>
              </w:rPr>
              <w:t>2、年龄18周岁以上45岁以下；</w:t>
            </w:r>
          </w:p>
          <w:p>
            <w:pPr>
              <w:pStyle w:val="null3"/>
              <w:ind w:firstLine="392"/>
              <w:jc w:val="left"/>
            </w:pPr>
            <w:r>
              <w:rPr>
                <w:rFonts w:ascii="仿宋_GB2312" w:hAnsi="仿宋_GB2312" w:cs="仿宋_GB2312" w:eastAsia="仿宋_GB2312"/>
                <w:sz w:val="21"/>
              </w:rPr>
              <w:t>3、身高男性170cm以上，女性160cm以上；</w:t>
            </w:r>
          </w:p>
          <w:p>
            <w:pPr>
              <w:pStyle w:val="null3"/>
              <w:ind w:firstLine="392"/>
              <w:jc w:val="left"/>
            </w:pPr>
            <w:r>
              <w:rPr>
                <w:rFonts w:ascii="仿宋_GB2312" w:hAnsi="仿宋_GB2312" w:cs="仿宋_GB2312" w:eastAsia="仿宋_GB2312"/>
                <w:sz w:val="21"/>
              </w:rPr>
              <w:t>4、安检人员执勤时着装必须统一，佩戴安检标志标识，佩戴手检器并能够熟练使用。</w:t>
            </w:r>
          </w:p>
          <w:p>
            <w:pPr>
              <w:pStyle w:val="null3"/>
              <w:ind w:firstLine="392"/>
              <w:jc w:val="left"/>
            </w:pPr>
            <w:r>
              <w:rPr>
                <w:rFonts w:ascii="仿宋_GB2312" w:hAnsi="仿宋_GB2312" w:cs="仿宋_GB2312" w:eastAsia="仿宋_GB2312"/>
                <w:sz w:val="21"/>
              </w:rPr>
              <w:t>五、商务要求</w:t>
            </w:r>
          </w:p>
          <w:p>
            <w:pPr>
              <w:pStyle w:val="null3"/>
              <w:ind w:firstLine="392"/>
              <w:jc w:val="left"/>
            </w:pPr>
            <w:r>
              <w:rPr>
                <w:rFonts w:ascii="仿宋_GB2312" w:hAnsi="仿宋_GB2312" w:cs="仿宋_GB2312" w:eastAsia="仿宋_GB2312"/>
                <w:sz w:val="21"/>
              </w:rPr>
              <w:t>1、服务期限及地点：</w:t>
            </w:r>
          </w:p>
          <w:p>
            <w:pPr>
              <w:pStyle w:val="null3"/>
              <w:ind w:firstLine="392"/>
              <w:jc w:val="left"/>
            </w:pPr>
            <w:r>
              <w:rPr>
                <w:rFonts w:ascii="仿宋_GB2312" w:hAnsi="仿宋_GB2312" w:cs="仿宋_GB2312" w:eastAsia="仿宋_GB2312"/>
                <w:sz w:val="21"/>
              </w:rPr>
              <w:t>（</w:t>
            </w:r>
            <w:r>
              <w:rPr>
                <w:rFonts w:ascii="仿宋_GB2312" w:hAnsi="仿宋_GB2312" w:cs="仿宋_GB2312" w:eastAsia="仿宋_GB2312"/>
                <w:sz w:val="21"/>
              </w:rPr>
              <w:t>1）服务期限：自合同签订之日起至2026年1月14日。</w:t>
            </w:r>
          </w:p>
          <w:p>
            <w:pPr>
              <w:pStyle w:val="null3"/>
              <w:ind w:firstLine="392"/>
              <w:jc w:val="left"/>
            </w:pPr>
            <w:r>
              <w:rPr>
                <w:rFonts w:ascii="仿宋_GB2312" w:hAnsi="仿宋_GB2312" w:cs="仿宋_GB2312" w:eastAsia="仿宋_GB2312"/>
                <w:sz w:val="21"/>
              </w:rPr>
              <w:t>（</w:t>
            </w:r>
            <w:r>
              <w:rPr>
                <w:rFonts w:ascii="仿宋_GB2312" w:hAnsi="仿宋_GB2312" w:cs="仿宋_GB2312" w:eastAsia="仿宋_GB2312"/>
                <w:sz w:val="21"/>
              </w:rPr>
              <w:t>2）服务地点：西安市莲湖区人民法院指定地点</w:t>
            </w:r>
          </w:p>
          <w:p>
            <w:pPr>
              <w:pStyle w:val="null3"/>
              <w:ind w:firstLine="392"/>
              <w:jc w:val="left"/>
            </w:pPr>
            <w:r>
              <w:rPr>
                <w:rFonts w:ascii="仿宋_GB2312" w:hAnsi="仿宋_GB2312" w:cs="仿宋_GB2312" w:eastAsia="仿宋_GB2312"/>
                <w:sz w:val="21"/>
              </w:rPr>
              <w:t>2、付款方式：</w:t>
            </w:r>
          </w:p>
          <w:p>
            <w:pPr>
              <w:pStyle w:val="null3"/>
              <w:ind w:firstLine="392"/>
              <w:jc w:val="left"/>
            </w:pPr>
            <w:r>
              <w:rPr>
                <w:rFonts w:ascii="仿宋_GB2312" w:hAnsi="仿宋_GB2312" w:cs="仿宋_GB2312" w:eastAsia="仿宋_GB2312"/>
                <w:sz w:val="21"/>
              </w:rPr>
              <w:t>因平台格式原因，具体付款方式为:此费用甲方分三次支付，第一次支付，合同签订后15日内乙方开具正式发票后，甲方支付服务费的50%；第二次支付，2025年7月25日前由乙方开具正式发票后，甲方支付总服务费的剩余25%；第三次支付，2025年1</w:t>
            </w:r>
            <w:r>
              <w:rPr>
                <w:rFonts w:ascii="仿宋_GB2312" w:hAnsi="仿宋_GB2312" w:cs="仿宋_GB2312" w:eastAsia="仿宋_GB2312"/>
                <w:sz w:val="21"/>
              </w:rPr>
              <w:t>0月25日前由乙方开具正式发票后，甲方支付总服务费的剩余25%；甲方以转账形式足额支付给乙方。合同期满后，因预算未下达等原因甲方可要求乙方延续提供1-4个月的服务，费用标准按原合同执行，乙方应予以保证。</w:t>
            </w:r>
          </w:p>
          <w:p>
            <w:pPr>
              <w:pStyle w:val="null3"/>
              <w:ind w:firstLine="392"/>
              <w:jc w:val="left"/>
            </w:pPr>
            <w:r>
              <w:rPr>
                <w:rFonts w:ascii="仿宋_GB2312" w:hAnsi="仿宋_GB2312" w:cs="仿宋_GB2312" w:eastAsia="仿宋_GB2312"/>
                <w:sz w:val="21"/>
              </w:rPr>
              <w:t>3、本次采购预算754100.00元，因2025年预算未下达等原因，安检外包服务已产生的相关费用219922.5元（2025年1月15日至2025年4月30日），由中标单位签订合同后代为支付，剩余534177.5元作为本项目安检外包服务的采购预算。</w:t>
            </w:r>
          </w:p>
          <w:p>
            <w:pPr>
              <w:pStyle w:val="null3"/>
              <w:ind w:firstLine="392"/>
              <w:jc w:val="left"/>
            </w:pPr>
            <w:r>
              <w:rPr>
                <w:rFonts w:ascii="仿宋_GB2312" w:hAnsi="仿宋_GB2312" w:cs="仿宋_GB2312" w:eastAsia="仿宋_GB2312"/>
                <w:sz w:val="21"/>
              </w:rPr>
              <w:t>4、支付方式：银行转账。</w:t>
            </w:r>
          </w:p>
          <w:p>
            <w:pPr>
              <w:pStyle w:val="null3"/>
              <w:ind w:firstLine="392"/>
              <w:jc w:val="left"/>
            </w:pPr>
            <w:r>
              <w:rPr>
                <w:rFonts w:ascii="仿宋_GB2312" w:hAnsi="仿宋_GB2312" w:cs="仿宋_GB2312" w:eastAsia="仿宋_GB2312"/>
                <w:sz w:val="21"/>
              </w:rPr>
              <w:t>5、服务质量要求：符合采购人要求及相关标准。</w:t>
            </w:r>
          </w:p>
          <w:p>
            <w:pPr>
              <w:pStyle w:val="null3"/>
              <w:ind w:firstLine="392"/>
              <w:jc w:val="left"/>
            </w:pPr>
            <w:r>
              <w:rPr>
                <w:rFonts w:ascii="仿宋_GB2312" w:hAnsi="仿宋_GB2312" w:cs="仿宋_GB2312" w:eastAsia="仿宋_GB2312"/>
                <w:sz w:val="21"/>
              </w:rPr>
              <w:t>六、其他事项</w:t>
            </w:r>
          </w:p>
          <w:p>
            <w:pPr>
              <w:pStyle w:val="null3"/>
              <w:ind w:firstLine="392"/>
              <w:jc w:val="left"/>
            </w:pPr>
            <w:r>
              <w:rPr>
                <w:rFonts w:ascii="仿宋_GB2312" w:hAnsi="仿宋_GB2312" w:cs="仿宋_GB2312" w:eastAsia="仿宋_GB2312"/>
                <w:sz w:val="21"/>
              </w:rPr>
              <w:t>1、</w:t>
            </w:r>
            <w:r>
              <w:rPr>
                <w:rFonts w:ascii="仿宋_GB2312" w:hAnsi="仿宋_GB2312" w:cs="仿宋_GB2312" w:eastAsia="仿宋_GB2312"/>
                <w:sz w:val="21"/>
              </w:rPr>
              <w:t>采购</w:t>
            </w:r>
            <w:r>
              <w:rPr>
                <w:rFonts w:ascii="仿宋_GB2312" w:hAnsi="仿宋_GB2312" w:cs="仿宋_GB2312" w:eastAsia="仿宋_GB2312"/>
                <w:sz w:val="21"/>
              </w:rPr>
              <w:t>活动受国家法律保护和约束。双方遵守法律、法规和职业道德，凡在磋商过程中弄虚作假，一经查出，追究责任方的法律、经济责任。</w:t>
            </w:r>
          </w:p>
          <w:p>
            <w:pPr>
              <w:pStyle w:val="null3"/>
              <w:ind w:firstLine="392"/>
              <w:jc w:val="left"/>
            </w:pPr>
            <w:r>
              <w:rPr>
                <w:rFonts w:ascii="仿宋_GB2312" w:hAnsi="仿宋_GB2312" w:cs="仿宋_GB2312" w:eastAsia="仿宋_GB2312"/>
                <w:sz w:val="21"/>
              </w:rPr>
              <w:t>2、双方发生合同争议时，应友好协商解决，不能达成协议时，及时向有关部门要求调解、仲裁或诉讼，发生索赔按现行法律、法规和合同执行。</w:t>
            </w:r>
          </w:p>
          <w:p>
            <w:pPr>
              <w:pStyle w:val="null3"/>
              <w:ind w:firstLine="392"/>
              <w:jc w:val="left"/>
            </w:pPr>
            <w:r>
              <w:rPr>
                <w:rFonts w:ascii="仿宋_GB2312" w:hAnsi="仿宋_GB2312" w:cs="仿宋_GB2312" w:eastAsia="仿宋_GB2312"/>
                <w:sz w:val="21"/>
              </w:rPr>
              <w:t>3、本文件未尽事宜按《中华人民共和国政府采购法》、《中华人民共和国政府采购法实施条例》及有关规定执行。</w:t>
            </w:r>
          </w:p>
          <w:p>
            <w:pPr>
              <w:pStyle w:val="null3"/>
              <w:ind w:firstLine="392"/>
              <w:jc w:val="left"/>
            </w:pPr>
            <w:r>
              <w:rPr>
                <w:rFonts w:ascii="仿宋_GB2312" w:hAnsi="仿宋_GB2312" w:cs="仿宋_GB2312" w:eastAsia="仿宋_GB2312"/>
                <w:sz w:val="21"/>
              </w:rPr>
              <w:t>4、成交单位不得对服务业务分包或转包。否则采购人有权终止合同，成交单位要承担由此造成的一切经济损失。</w:t>
            </w:r>
          </w:p>
          <w:p>
            <w:pPr>
              <w:pStyle w:val="null3"/>
              <w:ind w:firstLine="392"/>
              <w:jc w:val="left"/>
            </w:pPr>
            <w:r>
              <w:rPr>
                <w:rFonts w:ascii="仿宋_GB2312" w:hAnsi="仿宋_GB2312" w:cs="仿宋_GB2312" w:eastAsia="仿宋_GB2312"/>
                <w:sz w:val="21"/>
              </w:rPr>
              <w:t>5、成交单位不得在服务期间对项目管理人员进行更换，如遇特殊情况须经采购人同意；采购人发现项目管理人员工作不力时，有权提出更换人员，更换的人员必须及时到场。</w:t>
            </w:r>
          </w:p>
          <w:p>
            <w:pPr>
              <w:pStyle w:val="null3"/>
              <w:ind w:firstLine="392"/>
              <w:jc w:val="left"/>
            </w:pPr>
            <w:r>
              <w:rPr>
                <w:rFonts w:ascii="仿宋_GB2312" w:hAnsi="仿宋_GB2312" w:cs="仿宋_GB2312" w:eastAsia="仿宋_GB2312"/>
                <w:sz w:val="21"/>
              </w:rPr>
              <w:t>七、违约责任</w:t>
            </w:r>
          </w:p>
          <w:p>
            <w:pPr>
              <w:pStyle w:val="null3"/>
              <w:ind w:firstLine="392"/>
              <w:jc w:val="left"/>
            </w:pPr>
            <w:r>
              <w:rPr>
                <w:rFonts w:ascii="仿宋_GB2312" w:hAnsi="仿宋_GB2312" w:cs="仿宋_GB2312" w:eastAsia="仿宋_GB2312"/>
                <w:sz w:val="21"/>
              </w:rPr>
              <w:t>1、按《</w:t>
            </w:r>
            <w:r>
              <w:rPr>
                <w:rFonts w:ascii="仿宋_GB2312" w:hAnsi="仿宋_GB2312" w:cs="仿宋_GB2312" w:eastAsia="仿宋_GB2312"/>
                <w:sz w:val="21"/>
              </w:rPr>
              <w:t>中华人民共和国民法典</w:t>
            </w:r>
            <w:r>
              <w:rPr>
                <w:rFonts w:ascii="仿宋_GB2312" w:hAnsi="仿宋_GB2312" w:cs="仿宋_GB2312" w:eastAsia="仿宋_GB2312"/>
                <w:sz w:val="21"/>
              </w:rPr>
              <w:t>》中的相关条款执行。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2、未按合同要求提供服务或服务质量不能满足技术要求，采购人有权终止合同，并对供方违约行为进行追究，同时按《政府采购法》的有关规定进行处罚。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合同签订之日起至2026年1月14日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西安市莲湖区人民法院指定地点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此费用甲方分三次支付，第一次支付，合同签订后15日内乙方开具正式发票后，甲方支付服务费的50%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第二次支付，2025年7月25日前由乙方开具正式发票后，甲方支付总服务费的剩余25%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第三次支付，2025年10月25日前由乙方开具正式发票后，甲方支付总服务费的剩余25%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 ②未按合同要求提供服务或服务质量不能满足技术要求，采购人有权终止合同，并对乙方违约行为进行追究，同时按《政府采购法》的有关规定进行处罚。 ③甲乙双方必须遵守本合同并执行合同中的各项规定，保证本合同的正常履行。 ④如因乙方工作人员在履行职务过程中的的疏忽、失职、过错等故意或者过失原因给甲方造成损失或侵害，包括但不限于甲方本身的财产损失、导致的甲方对任何第三方的法律责任以及因此对甲方造成的不良影响等，乙方对此均应承担全部的赔偿责任。 ⑤如因乙方提供的合同约定安检设备器材发生任何问题，设备器材在合同履行期间不能正常使用，包括但不限于甲方本身的财产损失、导致的甲方对任何第三方的法律责任以及因此对甲方造成的不良影响等，乙方对此均应承担全部的赔偿责任。 ⑥乙方擅自解除或终止本合同的，乙方应按结算总价款的20%向甲方支付违约金。 ⑦因本合同产生纠纷，如协商无法解决，双方均有权向西安仲裁委员会提起仲裁。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1.供应商应具有公安机关颁发的《保安服务许可证》。外省企业还须出具承诺书（承诺书形式不限），承诺自承接本项目之日起在规定时间内向项目所在地公安机关备案； 2.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完整性审查-响应文件内容</w:t>
            </w:r>
          </w:p>
        </w:tc>
        <w:tc>
          <w:tcPr>
            <w:tcW w:type="dxa" w:w="3322"/>
          </w:tcPr>
          <w:p>
            <w:pPr>
              <w:pStyle w:val="null3"/>
            </w:pPr>
            <w:r>
              <w:rPr>
                <w:rFonts w:ascii="仿宋_GB2312" w:hAnsi="仿宋_GB2312" w:cs="仿宋_GB2312" w:eastAsia="仿宋_GB2312"/>
              </w:rPr>
              <w:t>响应文件内容完整、无遗漏。</w:t>
            </w:r>
          </w:p>
        </w:tc>
        <w:tc>
          <w:tcPr>
            <w:tcW w:type="dxa" w:w="1661"/>
          </w:tcPr>
          <w:p>
            <w:pPr>
              <w:pStyle w:val="null3"/>
            </w:pPr>
            <w:r>
              <w:rPr>
                <w:rFonts w:ascii="仿宋_GB2312" w:hAnsi="仿宋_GB2312" w:cs="仿宋_GB2312" w:eastAsia="仿宋_GB2312"/>
              </w:rPr>
              <w:t>响应文件封面 服务条款偏离表 中小企业声明函 标的清单 报价表 响应函 商务条款偏离表 其他证明材料 供应商资格证明文件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服务条款偏离表 标的清单 报价表 响应函 商务条款偏离表 其他证明材料 供应商资格证明文件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响应性审查-服务期限</w:t>
            </w:r>
          </w:p>
        </w:tc>
        <w:tc>
          <w:tcPr>
            <w:tcW w:type="dxa" w:w="3322"/>
          </w:tcPr>
          <w:p>
            <w:pPr>
              <w:pStyle w:val="null3"/>
            </w:pPr>
            <w:r>
              <w:rPr>
                <w:rFonts w:ascii="仿宋_GB2312" w:hAnsi="仿宋_GB2312" w:cs="仿宋_GB2312" w:eastAsia="仿宋_GB2312"/>
              </w:rPr>
              <w:t>应满足磋商文件中规定的服务期限要求。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提供项目服务方案，包括服务管理工作目标、实施方案、岗位职责制度与考核办法等。 （1）服务内容全面，制度详细、科学合理，得10分； （2）服务内容齐全，对应的制度合理，得8分； （3）服务内容较完整，制度较为合理，得6分； （4）服务内容一般完整，制度基本合理，得4分； （5）服务内容基本完整、制度简单，得2分；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供应商具有完整系统的管理规章制度，制度明确、完整、健全、规范。 （1）方案内容完善，可行性强，得10分； （2）方案内容合理，可行性较强，得8分； （3）方案内容较为合理，可行性一般，得6分； （4）方案内容基本合理，可行性一般，得4分； （5）方案内容欠缺，可行性差，得2分；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安检人员配备方案</w:t>
            </w:r>
          </w:p>
        </w:tc>
        <w:tc>
          <w:tcPr>
            <w:tcW w:type="dxa" w:w="2492"/>
          </w:tcPr>
          <w:p>
            <w:pPr>
              <w:pStyle w:val="null3"/>
            </w:pPr>
            <w:r>
              <w:rPr>
                <w:rFonts w:ascii="仿宋_GB2312" w:hAnsi="仿宋_GB2312" w:cs="仿宋_GB2312" w:eastAsia="仿宋_GB2312"/>
              </w:rPr>
              <w:t>提供安检人员配备情况，人员配备满足需求、组织架构、服务水平、人员素质标准等。 （1）项目人员配备合理完善，服务水平高，针对性强的得10分； （2）项目人员配备完善，服务水平较高，针对性较强的得8分； （3）项目人员配备较完善，服务水平一般，针对性一般的得6分； （4）项目人员配备较完善，服务水平较差，针对性较差的得4分； （5）项目人员配备基本完整，服务水平差，针对性差的得2分；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安检设备器材配备方案</w:t>
            </w:r>
          </w:p>
        </w:tc>
        <w:tc>
          <w:tcPr>
            <w:tcW w:type="dxa" w:w="2492"/>
          </w:tcPr>
          <w:p>
            <w:pPr>
              <w:pStyle w:val="null3"/>
            </w:pPr>
            <w:r>
              <w:rPr>
                <w:rFonts w:ascii="仿宋_GB2312" w:hAnsi="仿宋_GB2312" w:cs="仿宋_GB2312" w:eastAsia="仿宋_GB2312"/>
              </w:rPr>
              <w:t>提供安检设备器材配备方案，包括具体参数、型号、数量、设备状态图片等 （1）安检设备器材配备完全满足需求，使用安全性保证性强的得10分； （2）安检设备器材配备基本满足需求，使用安全性保证性较强的得8分； （3）安检设备器材配备合理，使用安全性保证性一般的得6分； （4）安检设备器材配备较合理，使用安全性保证性一般的得4分； （5）安检设备器材配备混乱，使用安全性保证性差的得2分；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具有专业的培训部门，可行的培训计划、方案、考核制度等。 （1）培训计划科学合理、考核方案全面严谨、考核制度完善的得9分； （2）培训计划合理、考核方案全面、考核制度完整的得7分； （3）培训计划较合理、考核方案及考核制度较完整的得5分； （4）培训计划基本合理、考核方案及考核制度模糊的得3分； （5）培训计划内容欠缺、考核方案及考核制度难以执行的得1分；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根据项目质量保障措施的全面性、科学性、可行性，进行赋分。 （1）内容非常合理、全面、科学，且具备指导意义，方案可行性高，有针对性得10分； （2）内容合理、全面、科学，有指导意义，方案有可行性，可以满足项目需求得8分； （3）内容基本合理、较全面，方案较贴合实际情况得6分； （4）内容不完整，考虑项目实际情况得4分； （5）内容混乱，未考虑本项目实际情况得2分；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应急预案保证措施</w:t>
            </w:r>
          </w:p>
        </w:tc>
        <w:tc>
          <w:tcPr>
            <w:tcW w:type="dxa" w:w="2492"/>
          </w:tcPr>
          <w:p>
            <w:pPr>
              <w:pStyle w:val="null3"/>
            </w:pPr>
            <w:r>
              <w:rPr>
                <w:rFonts w:ascii="仿宋_GB2312" w:hAnsi="仿宋_GB2312" w:cs="仿宋_GB2312" w:eastAsia="仿宋_GB2312"/>
              </w:rPr>
              <w:t>根据突发应急预案保证措施的全面性、高效性、可行性、针对性，进行赋分。 （1）突发应急预案保证措施完善可靠、全面覆盖、响应迅捷的得10分； （2）突发应急预案保证措施规范可行、重点突出、响应较迅捷的得8分； （3）突发应急预案保证措施内容完备、局部有效、响应延迟的得6分； （4）突发应急预案保证措施内容较完备，责任划分模糊、响应延迟的得4分； （5）突发应急预案保证措施内容欠缺、响应滞后的得2分；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根据人员到位情况、不能完全履行服务承诺时及时请调其他服务人员补充等情况做出实质性承诺，服务措施切实可行，能够考虑并满足项目服务需求。 （1）内容非常贴合实际、内容充分准确，完全满足项目需求，得9分； （2）内容贴合需求、充分且准确的，得7分； （3）内容较贴合需求、充分准确的，得5分； （4）内容符合需求、欠充分的，得3分； （5）内容欠缺、欠准确的，得1分；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自2022年1月1日起至投标截止日，每提供一份有效类似业绩得 4分，最高得12分。(以提供的合同或中标（成交）通知书的复印件为准，时间以合同签订时间或中标（成交）通知书时间为准。）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详见附件：服务条款偏离表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详见附件：安检辅助合同.docx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