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版本号：YDZXZC202500420250523001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校园水管道及暖气管道更换维修工程设计服务项目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YDZXZC2025004</w:t>
      </w:r>
      <w:r>
        <w:br/>
      </w:r>
      <w:r>
        <w:br/>
      </w:r>
      <w:r>
        <w:br/>
      </w:r>
    </w:p>
    <w:p>
      <w:pPr>
        <w:pStyle w:val="null3"/>
        <w:jc w:val="center"/>
        <w:outlineLvl w:val="2"/>
      </w:pPr>
      <w:r>
        <w:rPr>
          <w:rFonts w:ascii="仿宋_GB2312" w:hAnsi="仿宋_GB2312" w:cs="仿宋_GB2312" w:eastAsia="仿宋_GB2312"/>
          <w:sz w:val="28"/>
          <w:b/>
        </w:rPr>
        <w:t>西安市青少年体育学校</w:t>
      </w:r>
    </w:p>
    <w:p>
      <w:pPr>
        <w:pStyle w:val="null3"/>
        <w:jc w:val="center"/>
        <w:outlineLvl w:val="2"/>
      </w:pPr>
      <w:r>
        <w:rPr>
          <w:rFonts w:ascii="仿宋_GB2312" w:hAnsi="仿宋_GB2312" w:cs="仿宋_GB2312" w:eastAsia="仿宋_GB2312"/>
          <w:sz w:val="28"/>
          <w:b/>
        </w:rPr>
        <w:t>元鼎咨询有限公司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元鼎咨询有限公司</w:t>
      </w:r>
      <w:r>
        <w:rPr>
          <w:rFonts w:ascii="仿宋_GB2312" w:hAnsi="仿宋_GB2312" w:cs="仿宋_GB2312" w:eastAsia="仿宋_GB2312"/>
        </w:rPr>
        <w:t>（以下简称“代理机构”）受</w:t>
      </w:r>
      <w:r>
        <w:rPr>
          <w:rFonts w:ascii="仿宋_GB2312" w:hAnsi="仿宋_GB2312" w:cs="仿宋_GB2312" w:eastAsia="仿宋_GB2312"/>
        </w:rPr>
        <w:t>西安市青少年体育学校</w:t>
      </w:r>
      <w:r>
        <w:rPr>
          <w:rFonts w:ascii="仿宋_GB2312" w:hAnsi="仿宋_GB2312" w:cs="仿宋_GB2312" w:eastAsia="仿宋_GB2312"/>
        </w:rPr>
        <w:t>委托，拟对</w:t>
      </w:r>
      <w:r>
        <w:rPr>
          <w:rFonts w:ascii="仿宋_GB2312" w:hAnsi="仿宋_GB2312" w:cs="仿宋_GB2312" w:eastAsia="仿宋_GB2312"/>
        </w:rPr>
        <w:t>校园水管道及暖气管道更换维修工程设计服务项目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YDZXZC2025004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校园水管道及暖气管道更换维修工程设计服务项目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校园水管道及暖气管道更换维修工程设计服务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采购包1（校园水管道及暖气管道更换维修工程设计服务项目）：属于专门面向中小企业采购。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1、企业资质：供应商须具备工程设计综合资质甲级或建筑行业工程设计乙级及以上资质，或工程设计（建筑行业建筑工程）专业乙级及以上资质；</w:t>
      </w:r>
    </w:p>
    <w:p>
      <w:pPr>
        <w:pStyle w:val="null3"/>
      </w:pPr>
      <w:r>
        <w:rPr>
          <w:rFonts w:ascii="仿宋_GB2312" w:hAnsi="仿宋_GB2312" w:cs="仿宋_GB2312" w:eastAsia="仿宋_GB2312"/>
        </w:rPr>
        <w:t>2、项目负责人资质：拟派项目负责人须具备二级及以上注册建筑师，或（建筑工程相关专业）高级工程师职称（在本单位注册）；</w:t>
      </w:r>
    </w:p>
    <w:p>
      <w:pPr>
        <w:pStyle w:val="null3"/>
      </w:pPr>
      <w:r>
        <w:rPr>
          <w:rFonts w:ascii="仿宋_GB2312" w:hAnsi="仿宋_GB2312" w:cs="仿宋_GB2312" w:eastAsia="仿宋_GB2312"/>
        </w:rPr>
        <w:t>3、网页查询截图：供应商基本信息及项目负责人的基本信息在“陕西省住房和城乡建设厅（http://js.shaanxi.gov.cn/）”或陕西政务服务网https://zwfw.shaanxi.gov.cn/sx/public/index可查询，提供官网截图并加盖供应商公章；</w:t>
      </w:r>
    </w:p>
    <w:p>
      <w:pPr>
        <w:pStyle w:val="null3"/>
      </w:pPr>
      <w:r>
        <w:rPr>
          <w:rFonts w:ascii="仿宋_GB2312" w:hAnsi="仿宋_GB2312" w:cs="仿宋_GB2312" w:eastAsia="仿宋_GB2312"/>
        </w:rPr>
        <w:t>4、法定代表人身份证明或法定代表人授权书：被授权人参加投标，须提供法定代表人授权书（附法定代表人、被授权人身份证复印件）；法定代表人直接参加投标，须提供法定代表人身份证明；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5、信用记录：供应商未被“信用中国”网站（www.creditchina.gov.cn）列入失信被执行人和重大税收违法失信主体，未被中国政府采购网（www.ccgp.gov.cn）列入政府采购严重违法失信行为记录名单；（以现场信用记录查询结果为准）</w:t>
      </w:r>
    </w:p>
    <w:p>
      <w:pPr>
        <w:pStyle w:val="null3"/>
      </w:pPr>
      <w:r>
        <w:rPr>
          <w:rFonts w:ascii="仿宋_GB2312" w:hAnsi="仿宋_GB2312" w:cs="仿宋_GB2312" w:eastAsia="仿宋_GB2312"/>
        </w:rPr>
        <w:t>6、非联合体：本项目不接受联合体磋商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西安市青少年体育学校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西安市碑林区伞塔路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029-82282523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元鼎咨询有限公司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陕西省西安市未央区陕西省西安市经济技术开发区凤城二路27号天心大厦17层1703室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余雪儿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17792395227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国家发改委办公厅颁发的《关于招标代理服务收费有关问题的通知》（发改办价格〔2003〕857号）文件规定标准计算收取，及《关于进一步放开建设项目专项业务服务价格的通知》（发改价格〔2015〕299号）规定的标准收取，不足伍仟圆按伍仟圆收取，具体收费金额将在成交公告中公布。成交供应商须在领取《成交通知书》之前，向采购代理机构一次付清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西安市青少年体育学校</w:t>
      </w:r>
      <w:r>
        <w:rPr>
          <w:rFonts w:ascii="仿宋_GB2312" w:hAnsi="仿宋_GB2312" w:cs="仿宋_GB2312" w:eastAsia="仿宋_GB2312"/>
        </w:rPr>
        <w:t>和</w:t>
      </w:r>
      <w:r>
        <w:rPr>
          <w:rFonts w:ascii="仿宋_GB2312" w:hAnsi="仿宋_GB2312" w:cs="仿宋_GB2312" w:eastAsia="仿宋_GB2312"/>
        </w:rPr>
        <w:t>元鼎咨询有限公司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西安市青少年体育学校</w:t>
      </w:r>
      <w:r>
        <w:rPr>
          <w:rFonts w:ascii="仿宋_GB2312" w:hAnsi="仿宋_GB2312" w:cs="仿宋_GB2312" w:eastAsia="仿宋_GB2312"/>
        </w:rPr>
        <w:t>负责解释。除上述磋商文件内容，其他内容由</w:t>
      </w:r>
      <w:r>
        <w:rPr>
          <w:rFonts w:ascii="仿宋_GB2312" w:hAnsi="仿宋_GB2312" w:cs="仿宋_GB2312" w:eastAsia="仿宋_GB2312"/>
        </w:rPr>
        <w:t>元鼎咨询有限公司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西安市青少年体育学校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元鼎咨询有限公司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1.成交供应商按照项目需求完成服务后，由用户方组织验收。 2.验收依据： (1) 合同文本； (2) 国家有关的验收标准及规范； (3) 竞争性磋商文件； (4) 磋商响应文件。 3.其他以采购合同约定为准。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元鼎咨询有限公司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元鼎咨询有限公司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元鼎咨询有限公司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联系人：余雪儿</w:t>
      </w:r>
    </w:p>
    <w:p>
      <w:pPr>
        <w:pStyle w:val="null3"/>
      </w:pPr>
      <w:r>
        <w:rPr>
          <w:rFonts w:ascii="仿宋_GB2312" w:hAnsi="仿宋_GB2312" w:cs="仿宋_GB2312" w:eastAsia="仿宋_GB2312"/>
        </w:rPr>
        <w:t>联系电话：17792395227</w:t>
      </w:r>
    </w:p>
    <w:p>
      <w:pPr>
        <w:pStyle w:val="null3"/>
      </w:pPr>
      <w:r>
        <w:rPr>
          <w:rFonts w:ascii="仿宋_GB2312" w:hAnsi="仿宋_GB2312" w:cs="仿宋_GB2312" w:eastAsia="仿宋_GB2312"/>
        </w:rPr>
        <w:t>地址：陕西省西安市经济技术开发区凤城二路27号天心大厦17层1703室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校园水管道及暖气管道更换维修工程设计服务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113,000.00</w:t>
      </w:r>
    </w:p>
    <w:p>
      <w:pPr>
        <w:pStyle w:val="null3"/>
      </w:pPr>
      <w:r>
        <w:rPr>
          <w:rFonts w:ascii="仿宋_GB2312" w:hAnsi="仿宋_GB2312" w:cs="仿宋_GB2312" w:eastAsia="仿宋_GB2312"/>
        </w:rPr>
        <w:t>采购包最高限价（元）: 113,000.00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校园水管道及暖气管道更换维修工程设计服务项目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标的名称：校园水管道及暖气管道更换维修工程设计服务项目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b/>
              </w:rPr>
              <w:t>一、项目概况</w:t>
            </w:r>
          </w:p>
          <w:p>
            <w:pPr>
              <w:pStyle w:val="null3"/>
            </w:pPr>
            <w:r>
              <w:rPr>
                <w:rFonts w:ascii="仿宋_GB2312" w:hAnsi="仿宋_GB2312" w:cs="仿宋_GB2312" w:eastAsia="仿宋_GB2312"/>
              </w:rPr>
              <w:t>本项目为校园水管道及暖气管道更换维修工程设计服务,建设地点位于西安市碑林区伞塔路89号，本次校园水管道及暖气管道更换维修工程设计服务项目，总投资预算金额为260万元。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8"/>
                <w:b/>
              </w:rPr>
              <w:t>二、服务内容</w:t>
            </w:r>
          </w:p>
          <w:p>
            <w:pPr>
              <w:pStyle w:val="null3"/>
            </w:pPr>
            <w:r>
              <w:rPr>
                <w:rFonts w:ascii="仿宋_GB2312" w:hAnsi="仿宋_GB2312" w:cs="仿宋_GB2312" w:eastAsia="仿宋_GB2312"/>
              </w:rPr>
              <w:t>（1）参加各设计阶段的方案评审并根据采购人及专家意见进行修改调整；</w:t>
            </w:r>
          </w:p>
          <w:p>
            <w:pPr>
              <w:pStyle w:val="null3"/>
            </w:pPr>
            <w:r>
              <w:rPr>
                <w:rFonts w:ascii="仿宋_GB2312" w:hAnsi="仿宋_GB2312" w:cs="仿宋_GB2312" w:eastAsia="仿宋_GB2312"/>
              </w:rPr>
              <w:t>（2）施工阶段的设计交底，设计变更配合，施工验收等施工过程中可能存在的各阶段技术相关问题；</w:t>
            </w:r>
          </w:p>
          <w:p>
            <w:pPr>
              <w:pStyle w:val="null3"/>
            </w:pPr>
            <w:r>
              <w:rPr>
                <w:rFonts w:ascii="仿宋_GB2312" w:hAnsi="仿宋_GB2312" w:cs="仿宋_GB2312" w:eastAsia="仿宋_GB2312"/>
              </w:rPr>
              <w:t>（3）协助提供工程资料整理归档服务；</w:t>
            </w:r>
          </w:p>
          <w:p>
            <w:pPr>
              <w:pStyle w:val="null3"/>
            </w:pPr>
            <w:r>
              <w:rPr>
                <w:rFonts w:ascii="仿宋_GB2312" w:hAnsi="仿宋_GB2312" w:cs="仿宋_GB2312" w:eastAsia="仿宋_GB2312"/>
              </w:rPr>
              <w:t>（4）供应商协助采购人完成相关建设项目报批手续。</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（一）设计依据</w:t>
            </w:r>
          </w:p>
          <w:p>
            <w:pPr>
              <w:pStyle w:val="null3"/>
            </w:pPr>
            <w:r>
              <w:rPr>
                <w:rFonts w:ascii="仿宋_GB2312" w:hAnsi="仿宋_GB2312" w:cs="仿宋_GB2312" w:eastAsia="仿宋_GB2312"/>
              </w:rPr>
              <w:t>1.《西安市城乡规划管理技术规定》</w:t>
            </w:r>
          </w:p>
          <w:p>
            <w:pPr>
              <w:pStyle w:val="null3"/>
            </w:pPr>
            <w:r>
              <w:rPr>
                <w:rFonts w:ascii="仿宋_GB2312" w:hAnsi="仿宋_GB2312" w:cs="仿宋_GB2312" w:eastAsia="仿宋_GB2312"/>
              </w:rPr>
              <w:t>2.《民用建筑设计统一标准》GB50352-2019</w:t>
            </w:r>
          </w:p>
          <w:p>
            <w:pPr>
              <w:pStyle w:val="null3"/>
            </w:pPr>
            <w:r>
              <w:rPr>
                <w:rFonts w:ascii="仿宋_GB2312" w:hAnsi="仿宋_GB2312" w:cs="仿宋_GB2312" w:eastAsia="仿宋_GB2312"/>
              </w:rPr>
              <w:t>3.《建筑与市政工程无障碍通用规范》GB 55019-2021</w:t>
            </w:r>
          </w:p>
          <w:p>
            <w:pPr>
              <w:pStyle w:val="null3"/>
            </w:pPr>
            <w:r>
              <w:rPr>
                <w:rFonts w:ascii="仿宋_GB2312" w:hAnsi="仿宋_GB2312" w:cs="仿宋_GB2312" w:eastAsia="仿宋_GB2312"/>
              </w:rPr>
              <w:t>4.《民用建筑通用规范》GB55031-2022</w:t>
            </w:r>
          </w:p>
          <w:p>
            <w:pPr>
              <w:pStyle w:val="null3"/>
            </w:pPr>
            <w:r>
              <w:rPr>
                <w:rFonts w:ascii="仿宋_GB2312" w:hAnsi="仿宋_GB2312" w:cs="仿宋_GB2312" w:eastAsia="仿宋_GB2312"/>
              </w:rPr>
              <w:t>5.《建筑设计防火规范》 GB50016-2014（2018版）</w:t>
            </w:r>
          </w:p>
          <w:p>
            <w:pPr>
              <w:pStyle w:val="null3"/>
            </w:pPr>
            <w:r>
              <w:rPr>
                <w:rFonts w:ascii="仿宋_GB2312" w:hAnsi="仿宋_GB2312" w:cs="仿宋_GB2312" w:eastAsia="仿宋_GB2312"/>
              </w:rPr>
              <w:t>6.《建筑防火通用规范》 GB55037-2022</w:t>
            </w:r>
          </w:p>
          <w:p>
            <w:pPr>
              <w:pStyle w:val="null3"/>
            </w:pPr>
            <w:r>
              <w:rPr>
                <w:rFonts w:ascii="仿宋_GB2312" w:hAnsi="仿宋_GB2312" w:cs="仿宋_GB2312" w:eastAsia="仿宋_GB2312"/>
              </w:rPr>
              <w:t>7.《民用建筑供暖通风与空气调节设计规范》GB50736-2012</w:t>
            </w:r>
          </w:p>
          <w:p>
            <w:pPr>
              <w:pStyle w:val="null3"/>
            </w:pPr>
            <w:r>
              <w:rPr>
                <w:rFonts w:ascii="仿宋_GB2312" w:hAnsi="仿宋_GB2312" w:cs="仿宋_GB2312" w:eastAsia="仿宋_GB2312"/>
              </w:rPr>
              <w:t>8.《消防设施通用规范》GB55036-2022</w:t>
            </w:r>
          </w:p>
          <w:p>
            <w:pPr>
              <w:pStyle w:val="null3"/>
            </w:pPr>
            <w:r>
              <w:rPr>
                <w:rFonts w:ascii="仿宋_GB2312" w:hAnsi="仿宋_GB2312" w:cs="仿宋_GB2312" w:eastAsia="仿宋_GB2312"/>
              </w:rPr>
              <w:t>9.《中小学校设计规范》GB50099-2011</w:t>
            </w:r>
          </w:p>
          <w:p>
            <w:pPr>
              <w:pStyle w:val="null3"/>
            </w:pPr>
            <w:r>
              <w:rPr>
                <w:rFonts w:ascii="仿宋_GB2312" w:hAnsi="仿宋_GB2312" w:cs="仿宋_GB2312" w:eastAsia="仿宋_GB2312"/>
              </w:rPr>
              <w:t>10《建筑机电工程抗震设计规范》GB50981-2014</w:t>
            </w:r>
          </w:p>
          <w:p>
            <w:pPr>
              <w:pStyle w:val="null3"/>
            </w:pPr>
            <w:r>
              <w:rPr>
                <w:rFonts w:ascii="仿宋_GB2312" w:hAnsi="仿宋_GB2312" w:cs="仿宋_GB2312" w:eastAsia="仿宋_GB2312"/>
              </w:rPr>
              <w:t>11《建筑给水排水设计标准》（GB 50015-2019）</w:t>
            </w:r>
          </w:p>
          <w:p>
            <w:pPr>
              <w:pStyle w:val="null3"/>
            </w:pPr>
            <w:r>
              <w:rPr>
                <w:rFonts w:ascii="仿宋_GB2312" w:hAnsi="仿宋_GB2312" w:cs="仿宋_GB2312" w:eastAsia="仿宋_GB2312"/>
              </w:rPr>
              <w:t>12《二次供水工程技术规程》 （CJJ 140-2010）</w:t>
            </w:r>
          </w:p>
          <w:p>
            <w:pPr>
              <w:pStyle w:val="null3"/>
            </w:pPr>
            <w:r>
              <w:rPr>
                <w:rFonts w:ascii="仿宋_GB2312" w:hAnsi="仿宋_GB2312" w:cs="仿宋_GB2312" w:eastAsia="仿宋_GB2312"/>
              </w:rPr>
              <w:t>13《二次供水工程技术规范》 DBJ61/T 186-2021</w:t>
            </w:r>
          </w:p>
          <w:p>
            <w:pPr>
              <w:pStyle w:val="null3"/>
            </w:pPr>
            <w:r>
              <w:rPr>
                <w:rFonts w:ascii="仿宋_GB2312" w:hAnsi="仿宋_GB2312" w:cs="仿宋_GB2312" w:eastAsia="仿宋_GB2312"/>
              </w:rPr>
              <w:t>14《二次供水技术规范》  DB 6101/  3011-2018</w:t>
            </w:r>
          </w:p>
          <w:p>
            <w:pPr>
              <w:pStyle w:val="null3"/>
            </w:pPr>
            <w:r>
              <w:rPr>
                <w:rFonts w:ascii="仿宋_GB2312" w:hAnsi="仿宋_GB2312" w:cs="仿宋_GB2312" w:eastAsia="仿宋_GB2312"/>
              </w:rPr>
              <w:t>15《钢结构设计规范》GB50017-2017</w:t>
            </w:r>
          </w:p>
          <w:p>
            <w:pPr>
              <w:pStyle w:val="null3"/>
            </w:pPr>
            <w:r>
              <w:rPr>
                <w:rFonts w:ascii="仿宋_GB2312" w:hAnsi="仿宋_GB2312" w:cs="仿宋_GB2312" w:eastAsia="仿宋_GB2312"/>
              </w:rPr>
              <w:t>16《建筑抗震设计规范》GB 50011－2010(2016年版)</w:t>
            </w:r>
          </w:p>
          <w:p>
            <w:pPr>
              <w:pStyle w:val="null3"/>
            </w:pPr>
            <w:r>
              <w:rPr>
                <w:rFonts w:ascii="仿宋_GB2312" w:hAnsi="仿宋_GB2312" w:cs="仿宋_GB2312" w:eastAsia="仿宋_GB2312"/>
              </w:rPr>
              <w:t>17《钢结构防火涂料》GB 14907-2018</w:t>
            </w:r>
          </w:p>
          <w:p>
            <w:pPr>
              <w:pStyle w:val="null3"/>
            </w:pPr>
            <w:r>
              <w:rPr>
                <w:rFonts w:ascii="仿宋_GB2312" w:hAnsi="仿宋_GB2312" w:cs="仿宋_GB2312" w:eastAsia="仿宋_GB2312"/>
              </w:rPr>
              <w:t>18 《建筑结构荷载规范》GB 5009—2012</w:t>
            </w:r>
          </w:p>
          <w:p>
            <w:pPr>
              <w:pStyle w:val="null3"/>
            </w:pPr>
            <w:r>
              <w:rPr>
                <w:rFonts w:ascii="仿宋_GB2312" w:hAnsi="仿宋_GB2312" w:cs="仿宋_GB2312" w:eastAsia="仿宋_GB2312"/>
              </w:rPr>
              <w:t>19《钢结构通用规范》(GB 55006-2021)</w:t>
            </w:r>
          </w:p>
          <w:p>
            <w:pPr>
              <w:pStyle w:val="null3"/>
            </w:pPr>
            <w:r>
              <w:rPr>
                <w:rFonts w:ascii="仿宋_GB2312" w:hAnsi="仿宋_GB2312" w:cs="仿宋_GB2312" w:eastAsia="仿宋_GB2312"/>
              </w:rPr>
              <w:t>20《建筑照明设计标准》GB50034-2013</w:t>
            </w:r>
          </w:p>
          <w:p>
            <w:pPr>
              <w:pStyle w:val="null3"/>
            </w:pPr>
            <w:r>
              <w:rPr>
                <w:rFonts w:ascii="仿宋_GB2312" w:hAnsi="仿宋_GB2312" w:cs="仿宋_GB2312" w:eastAsia="仿宋_GB2312"/>
              </w:rPr>
              <w:t>21《民用建筑电气设计标准》GB51348-2019</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四、商务要求</w:t>
            </w:r>
          </w:p>
          <w:p>
            <w:pPr>
              <w:pStyle w:val="null3"/>
            </w:pPr>
            <w:r>
              <w:rPr>
                <w:rFonts w:ascii="仿宋_GB2312" w:hAnsi="仿宋_GB2312" w:cs="仿宋_GB2312" w:eastAsia="仿宋_GB2312"/>
              </w:rPr>
              <w:t>（一）服务期限：15日历天内提交成果文件，实际以采购人委托单为准。</w:t>
            </w:r>
          </w:p>
          <w:p>
            <w:pPr>
              <w:pStyle w:val="null3"/>
            </w:pPr>
            <w:r>
              <w:rPr>
                <w:rFonts w:ascii="仿宋_GB2312" w:hAnsi="仿宋_GB2312" w:cs="仿宋_GB2312" w:eastAsia="仿宋_GB2312"/>
              </w:rPr>
              <w:t>（二）服务地点：西安市碑林区伞塔路89号</w:t>
            </w:r>
          </w:p>
          <w:p>
            <w:pPr>
              <w:pStyle w:val="null3"/>
            </w:pPr>
            <w:r>
              <w:rPr>
                <w:rFonts w:ascii="仿宋_GB2312" w:hAnsi="仿宋_GB2312" w:cs="仿宋_GB2312" w:eastAsia="仿宋_GB2312"/>
              </w:rPr>
              <w:t>（三）款项结算：项目完成，并经甲方验收合格后无任何问题，甲方支付合同总价款的100%。付款前供应商提供全额正规发票。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五、服务要求</w:t>
            </w:r>
          </w:p>
          <w:p>
            <w:pPr>
              <w:pStyle w:val="null3"/>
            </w:pPr>
            <w:r>
              <w:rPr>
                <w:rFonts w:ascii="仿宋_GB2312" w:hAnsi="仿宋_GB2312" w:cs="仿宋_GB2312" w:eastAsia="仿宋_GB2312"/>
              </w:rPr>
              <w:t>1.服务要求</w:t>
            </w:r>
          </w:p>
          <w:p>
            <w:pPr>
              <w:pStyle w:val="null3"/>
            </w:pPr>
            <w:r>
              <w:rPr>
                <w:rFonts w:ascii="仿宋_GB2312" w:hAnsi="仿宋_GB2312" w:cs="仿宋_GB2312" w:eastAsia="仿宋_GB2312"/>
              </w:rPr>
              <w:t>根据原则，本项目服务要求：</w:t>
            </w:r>
          </w:p>
          <w:p>
            <w:pPr>
              <w:pStyle w:val="null3"/>
            </w:pPr>
            <w:r>
              <w:rPr>
                <w:rFonts w:ascii="仿宋_GB2312" w:hAnsi="仿宋_GB2312" w:cs="仿宋_GB2312" w:eastAsia="仿宋_GB2312"/>
              </w:rPr>
              <w:t>（1）根据采购人的相关要求提供设计方案。</w:t>
            </w:r>
          </w:p>
          <w:p>
            <w:pPr>
              <w:pStyle w:val="null3"/>
            </w:pPr>
            <w:r>
              <w:rPr>
                <w:rFonts w:ascii="仿宋_GB2312" w:hAnsi="仿宋_GB2312" w:cs="仿宋_GB2312" w:eastAsia="仿宋_GB2312"/>
              </w:rPr>
              <w:t>（2）依据确认的设计方案进行施工图设计。</w:t>
            </w:r>
          </w:p>
          <w:p>
            <w:pPr>
              <w:pStyle w:val="null3"/>
            </w:pPr>
            <w:r>
              <w:rPr>
                <w:rFonts w:ascii="仿宋_GB2312" w:hAnsi="仿宋_GB2312" w:cs="仿宋_GB2312" w:eastAsia="仿宋_GB2312"/>
              </w:rPr>
              <w:t>（3）后续配合服务。</w:t>
            </w:r>
          </w:p>
          <w:p>
            <w:pPr>
              <w:pStyle w:val="null3"/>
            </w:pPr>
            <w:r>
              <w:rPr>
                <w:rFonts w:ascii="仿宋_GB2312" w:hAnsi="仿宋_GB2312" w:cs="仿宋_GB2312" w:eastAsia="仿宋_GB2312"/>
              </w:rPr>
              <w:t>2.人员配置</w:t>
            </w:r>
          </w:p>
          <w:p>
            <w:pPr>
              <w:pStyle w:val="null3"/>
            </w:pPr>
            <w:r>
              <w:rPr>
                <w:rFonts w:ascii="仿宋_GB2312" w:hAnsi="仿宋_GB2312" w:cs="仿宋_GB2312" w:eastAsia="仿宋_GB2312"/>
              </w:rPr>
              <w:t>须配备符合本项目要求的项目负责人及技术人员</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六、其他</w:t>
            </w:r>
          </w:p>
          <w:p>
            <w:pPr>
              <w:pStyle w:val="null3"/>
            </w:pPr>
            <w:r>
              <w:rPr>
                <w:rFonts w:ascii="仿宋_GB2312" w:hAnsi="仿宋_GB2312" w:cs="仿宋_GB2312" w:eastAsia="仿宋_GB2312"/>
              </w:rPr>
              <w:t>（一）成果交付要求</w:t>
            </w:r>
          </w:p>
          <w:p>
            <w:pPr>
              <w:pStyle w:val="null3"/>
            </w:pPr>
            <w:r>
              <w:rPr>
                <w:rFonts w:ascii="仿宋_GB2312" w:hAnsi="仿宋_GB2312" w:cs="仿宋_GB2312" w:eastAsia="仿宋_GB2312"/>
              </w:rPr>
              <w:t>1. 成果文件：设计图纸</w:t>
            </w:r>
          </w:p>
          <w:p>
            <w:pPr>
              <w:pStyle w:val="null3"/>
            </w:pPr>
            <w:r>
              <w:rPr>
                <w:rFonts w:ascii="仿宋_GB2312" w:hAnsi="仿宋_GB2312" w:cs="仿宋_GB2312" w:eastAsia="仿宋_GB2312"/>
              </w:rPr>
              <w:t>2. 成果提交方式： 电子版1份（整套文本及图纸，图纸采用JPG或者PDF格式），文本成册8份。</w:t>
            </w:r>
          </w:p>
          <w:p>
            <w:pPr>
              <w:pStyle w:val="null3"/>
            </w:pPr>
            <w:r>
              <w:rPr>
                <w:rFonts w:ascii="仿宋_GB2312" w:hAnsi="仿宋_GB2312" w:cs="仿宋_GB2312" w:eastAsia="仿宋_GB2312"/>
              </w:rPr>
              <w:t>（二）质量验收标准或规范 现行的国家标准或国家行政部门颁布的法律法规、规章制度等，没有国家标准的，参考行业标准。</w:t>
            </w:r>
          </w:p>
          <w:p>
            <w:pPr>
              <w:pStyle w:val="null3"/>
            </w:pPr>
            <w:r>
              <w:rPr>
                <w:rFonts w:ascii="仿宋_GB2312" w:hAnsi="仿宋_GB2312" w:cs="仿宋_GB2312" w:eastAsia="仿宋_GB2312"/>
              </w:rPr>
              <w:t>（三）违约责任</w:t>
            </w:r>
          </w:p>
          <w:p>
            <w:pPr>
              <w:pStyle w:val="null3"/>
            </w:pPr>
            <w:r>
              <w:rPr>
                <w:rFonts w:ascii="仿宋_GB2312" w:hAnsi="仿宋_GB2312" w:cs="仿宋_GB2312" w:eastAsia="仿宋_GB2312"/>
              </w:rPr>
              <w:t>1.按《中华人民共和国民法典》、《中华人民共和国政府采购法》中的相关条款执行。</w:t>
            </w:r>
          </w:p>
          <w:p>
            <w:pPr>
              <w:pStyle w:val="null3"/>
            </w:pPr>
            <w:r>
              <w:rPr>
                <w:rFonts w:ascii="仿宋_GB2312" w:hAnsi="仿宋_GB2312" w:cs="仿宋_GB2312" w:eastAsia="仿宋_GB2312"/>
              </w:rPr>
              <w:t>2.未按合同或采购文件要求执行，或质量不能满足甲方要求的，甲方有权终止合同，甚至对乙方违约行为进行追究。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合同签订之日起15个日历日。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西安市碑林区伞塔路89号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1.成交供应商按照项目需求完成服务后，由用户方组织验收。 2.验收依据： (1) 合同文本； (2) 国家有关的验收标准及规范； (3) 竞争性磋商文件； (4) 磋商响应文件。 3.其他以采购合同约定为准。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项目完成，并经甲方验收合格后无任何问题，一次付清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1.按《中华人民共和国民法典》、《中华人民共和国政府采购法》中的相关条款执行。 2.未按合同或采购文件要求执行，或质量不能满足甲方要求的，甲方有权终止合同，甚至对乙方违约行为进行追究。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间接费、利润、税金及其它相关的一切费用；包括但不限于：人工费、维护费、设备费、管理费、验收费、采购代理服务费、利润和税金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供应商需在项目电子化交易系统中按要求填写《响应函》完成承诺并进行电子签章,（须包含以下要求内容）：a.具有独立承担民事责任的能力； b.具有良好的商业信誉和健全的财务会计制度； c.具有履行合同所必需的设备和专业技术能力； d.有依法缴纳税收和社会保障资金的良好记录； e.参加政府采购活动前三年内，在经营活动中没有重大违法记录； f.法律、行政法规规定的其他条件</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供应商财务会计报告（包括审计报告、资产负债表、利润表、现金流量表、所有者权益变动表及其附注，成立时间至提交响应文件截止时间不足1年的可提供成立后任意时段的资产负债表）；或其提交响应文件截止时间前3个月其基本账户开户银行出具的资信证明（附基本存款账户信息）；公益类事业单位无需提供财务审计报告；（以上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供应商须具备工程设计综合资质甲级或建筑行业工程设计乙级及以上资质，或工程设计（建筑行业建筑工程）专业乙级及以上资质；</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拟派项目负责人须具备二级及以上注册建筑师，或（建筑工程相关专业）高级工程师职称（在本单位注册）；</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网页查询截图</w:t>
            </w:r>
          </w:p>
        </w:tc>
        <w:tc>
          <w:tcPr>
            <w:tcW w:type="dxa" w:w="3322"/>
          </w:tcPr>
          <w:p>
            <w:pPr>
              <w:pStyle w:val="null3"/>
            </w:pPr>
            <w:r>
              <w:rPr>
                <w:rFonts w:ascii="仿宋_GB2312" w:hAnsi="仿宋_GB2312" w:cs="仿宋_GB2312" w:eastAsia="仿宋_GB2312"/>
              </w:rPr>
              <w:t>供应商基本信息及项目负责人的基本信息在“陕西省住房和城乡建设厅（http://js.shaanxi.gov.cn/）”或陕西政务服务网https://zwfw.shaanxi.gov.cn/sx/public/index可查询，提供官网截图并加盖供应商公章；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被授权人参加投标，须提供法定代表人授权书（附法定代表人、被授权人身份证复印件）；法定代表人直接参加投标，须提供法定代表人身份证明；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供应商未被“信用中国”网站（www.creditchina.gov.cn）列入失信被执行人和重大税收违法失信主体，未被中国政府采购网（www.ccgp.gov.cn）列入政府采购严重违法失信行为记录名单；（以现场信用记录查询结果为准）</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符合磋商文件有关签署、盖章要求</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项目理解及针对本项目的任务分析</w:t>
            </w:r>
          </w:p>
        </w:tc>
        <w:tc>
          <w:tcPr>
            <w:tcW w:type="dxa" w:w="2492"/>
          </w:tcPr>
          <w:p>
            <w:pPr>
              <w:pStyle w:val="null3"/>
            </w:pPr>
            <w:r>
              <w:rPr>
                <w:rFonts w:ascii="仿宋_GB2312" w:hAnsi="仿宋_GB2312" w:cs="仿宋_GB2312" w:eastAsia="仿宋_GB2312"/>
              </w:rPr>
              <w:t>项目理解到位、分析准确，掌握项目各项工作要求，任务分析全面完善，计7.1-10分；项目理解基本准确，了解项目相关情况，基本掌握项目各项工作要求，任务分析基本全面，计4.1-7分； 项目理解有欠缺，相关情况了解有欠缺，掌握项目基础工作要求，任务分析片面，计1.1-4分；项目理解不准确，任务分析有欠缺，计0-1分； 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设计思路及方案</w:t>
            </w:r>
          </w:p>
        </w:tc>
        <w:tc>
          <w:tcPr>
            <w:tcW w:type="dxa" w:w="2492"/>
          </w:tcPr>
          <w:p>
            <w:pPr>
              <w:pStyle w:val="null3"/>
            </w:pPr>
            <w:r>
              <w:rPr>
                <w:rFonts w:ascii="仿宋_GB2312" w:hAnsi="仿宋_GB2312" w:cs="仿宋_GB2312" w:eastAsia="仿宋_GB2312"/>
              </w:rPr>
              <w:t>设计思路合理、严谨、清晰，设计方案完整，描述详尽，针对性、可行性强，得7.1-10分； 设计思路较合理、清晰，设计方案较完整，描述清晰，针对性、可行性一般，得4.1-7分； 设计思路基本明确、合理，设计方案普遍通用，描述简单，针对性、可行性一般，得1.1-4分； 设计思路需进一步梳理，设计方案不完整，描述模糊，针对性、可行性欠缺，得0-1分；其他或未提供不得分。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A.设计质量保障措施描述严谨、完整合理、切实可行，针对性、可行性强，得7.1-10分； B.设计质量保障措施描述清晰但不够完整，基本合理性，针对性、可行性一般，得4.1-7分； C.设计质量保障措施描述简单，合理性、严谨度一般，针对性、可行性一般，得1.1-4分； D.设计质量保障措施描述不够清晰，合理性一般，针对性、可行性欠缺，得0-1分；E.其他或未提供不得分。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设计阶段工程造价控制措施</w:t>
            </w:r>
          </w:p>
        </w:tc>
        <w:tc>
          <w:tcPr>
            <w:tcW w:type="dxa" w:w="2492"/>
          </w:tcPr>
          <w:p>
            <w:pPr>
              <w:pStyle w:val="null3"/>
            </w:pPr>
            <w:r>
              <w:rPr>
                <w:rFonts w:ascii="仿宋_GB2312" w:hAnsi="仿宋_GB2312" w:cs="仿宋_GB2312" w:eastAsia="仿宋_GB2312"/>
              </w:rPr>
              <w:t>A.控制措施内容完整，描述详尽，针对性、可行性强得7.1-10分； B.控制措施描述清晰但不够完整，基本合理，针对性、可行性一般得4.1-7分； C.控制措施描述简单，合理性、严谨度一般，针对性、可行性一般，得1.1-4分； D.控制措施描述不够清晰，合理性一般，针对性、可行性欠缺，得0-1分；E.其他或未提供不得分。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对项目重难点、关键性技术问题的认识及其对策措施：A.对项目重难点、关键性技术问题的把握准确、分析到位，所提供的对策措施完善，有较强的针对性，得6.1-9分；B.对项目重难点、关键性技术问题的把握基本准确、分析简单，所提供的对策措施合理，有一定的针对性，得3.1-6分；C.对项目重难点、关键性技术问题的把握有偏差、分析欠缺，所提供的对策措施简单普遍，对本项目没有针对性，得0-3分。D.其他或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A.人员组织架构完整，岗位设置合理、明确，技术人员专业性、经验性强，且对本项目有针对性，得6.1-9分； B.人员组织架构有待优化，技术人员岗位设置基本合理，人员专业性、经验性一般，得3.1-6分； C.人员组织架构不完整，人员岗位设置紧张，技术人员专业性、经验性欠缺，得0-3分；D.其他或未提供不得分。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根据设计工作进度计划安排的合理性、与本项目实际情况的符合性，进度保证措施的可靠性、可实施性进行评分：A.进度安排合理可行，进度保证措施详细、工作节点清晰，得6.1-9分； B.进度安排基本合理，进度保证措施不明确，需进一步协调，得3.1-6分； C.进度安排不合理，进度保证措施简单，得0-3分； D.其他或未提供不得分。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A.承诺内容全面，描述详尽，针对性、可行性强，得6.1-8分； B.承诺内容较全面，描述较详尽，针对性、可行性一般，得4.1-6分；C.承诺内容简单，描述粗略，针对性、可行性一般得2.1-4分；D.承诺内容简单笼统，针对性、可行性欠缺，得0-2分； E.其他或未提供不得分。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针对本项目服务内容及特点，提出合理化建议：A.内容详细，见解独到，具有较强针对性，得3.1-5分； B.内容较简单，提出的建议常规通用，缺乏针对性，得1.1-3分；C.内容笼统，没有对其观点展开论述，得0-1分；D.其他或未提供不得分。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供应商2022年04月01日（以合同签订时间为准）至本项目磋商响应文件递交截止时间止完成过的类似项目业绩，每提供一个得2分，最高得10分。 注：业绩以加盖公章的合同协议书的复印件为准。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1.实质性满足磋商文件要求且最终报价最低的有效报价为评标基准价,其价格分值为满分10分。 2.磋商报价得分=（磋商基准价/最终磋商报价）×10。计算分数时四舍五入取小数点后两位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