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版本号：SXHLZB-2025-02020250411002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西安新丝路“双百”美术精品创作工程（第二期）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SXHLZB-2025-020</w:t>
      </w:r>
      <w:r>
        <w:br/>
      </w:r>
      <w:r>
        <w:br/>
      </w:r>
      <w:r>
        <w:br/>
      </w:r>
    </w:p>
    <w:p>
      <w:pPr>
        <w:pStyle w:val="null3"/>
        <w:jc w:val="center"/>
        <w:outlineLvl w:val="2"/>
      </w:pPr>
      <w:r>
        <w:rPr>
          <w:rFonts w:ascii="仿宋_GB2312" w:hAnsi="仿宋_GB2312" w:cs="仿宋_GB2312" w:eastAsia="仿宋_GB2312"/>
          <w:sz w:val="28"/>
          <w:b/>
        </w:rPr>
        <w:t>西安中国画院</w:t>
      </w:r>
    </w:p>
    <w:p>
      <w:pPr>
        <w:pStyle w:val="null3"/>
        <w:jc w:val="center"/>
        <w:outlineLvl w:val="2"/>
      </w:pPr>
      <w:r>
        <w:rPr>
          <w:rFonts w:ascii="仿宋_GB2312" w:hAnsi="仿宋_GB2312" w:cs="仿宋_GB2312" w:eastAsia="仿宋_GB2312"/>
          <w:sz w:val="28"/>
          <w:b/>
        </w:rPr>
        <w:t>陕西翰联建设项目管理有限责任公司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陕西翰联建设项目管理有限责任公司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西安中国画院</w:t>
      </w:r>
      <w:r>
        <w:rPr>
          <w:rFonts w:ascii="仿宋_GB2312" w:hAnsi="仿宋_GB2312" w:cs="仿宋_GB2312" w:eastAsia="仿宋_GB2312"/>
        </w:rPr>
        <w:t>委托，拟对</w:t>
      </w:r>
      <w:r>
        <w:rPr>
          <w:rFonts w:ascii="仿宋_GB2312" w:hAnsi="仿宋_GB2312" w:cs="仿宋_GB2312" w:eastAsia="仿宋_GB2312"/>
        </w:rPr>
        <w:t>西安新丝路“双百”美术精品创作工程（第二期）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SXHLZB-2025-020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西安新丝路“双百”美术精品创作工程（第二期）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繁荣发展西安文化旅游，由西安中国画院策划实施，拟推出“画西安百景”活动，组织全国优秀画家深入到西安市各区县、开发区，各名山大川、名胜古迹、旅游景点、地标性建筑、红色爱国主义教育基地、特色小镇等地，一人一景，以现场写生的形式，表现美丽西安的人文景色、历史风貌、旅游资源及现代化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采购包1（西安新丝路“双百”美术精品创作工程（第二期））：属于专门面向小微企业采购。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1、供应商主体资格：具有独立承担民事责任能力的法人、其他组织或自然人，并出具合法有效的营业执照等国家规定的相关证明，自然人参与的提供其身份证明（提供复印件加盖公章）</w:t>
      </w:r>
    </w:p>
    <w:p>
      <w:pPr>
        <w:pStyle w:val="null3"/>
      </w:pPr>
      <w:r>
        <w:rPr>
          <w:rFonts w:ascii="仿宋_GB2312" w:hAnsi="仿宋_GB2312" w:cs="仿宋_GB2312" w:eastAsia="仿宋_GB2312"/>
        </w:rPr>
        <w:t>2、供应商代表资格：供应商应授权合法的人员参加采购活动全过程，其中法定代表人直接参加磋商的，须出具法定代表人身份证，并与营业执照上信息一致；法定代表人授权代表参加磋商的，须出具法定代表人授权书及授权代表身份证；</w:t>
      </w:r>
    </w:p>
    <w:p>
      <w:pPr>
        <w:pStyle w:val="null3"/>
      </w:pPr>
      <w:r>
        <w:rPr>
          <w:rFonts w:ascii="仿宋_GB2312" w:hAnsi="仿宋_GB2312" w:cs="仿宋_GB2312" w:eastAsia="仿宋_GB2312"/>
        </w:rPr>
        <w:t>3、财务状况报告：提供2023年度或2024年度经审计的财务报告（至少包括资产负债表和利润表，成立时间至提交磋商响应文件递交截止时间不足一年的可提供成立后任意时段的资产负债表），或其基本存款账户开户银行出具的资信证明（附开户许可证或开户备案证明）；</w:t>
      </w:r>
    </w:p>
    <w:p>
      <w:pPr>
        <w:pStyle w:val="null3"/>
      </w:pPr>
      <w:r>
        <w:rPr>
          <w:rFonts w:ascii="仿宋_GB2312" w:hAnsi="仿宋_GB2312" w:cs="仿宋_GB2312" w:eastAsia="仿宋_GB2312"/>
        </w:rPr>
        <w:t>4、税收缴纳证明：提供磋商截止日前一年内已缴纳的至少一个月的纳税证明或完税证明（任意税种），依法免税的单位应提供相关证明材料；</w:t>
      </w:r>
    </w:p>
    <w:p>
      <w:pPr>
        <w:pStyle w:val="null3"/>
      </w:pPr>
      <w:r>
        <w:rPr>
          <w:rFonts w:ascii="仿宋_GB2312" w:hAnsi="仿宋_GB2312" w:cs="仿宋_GB2312" w:eastAsia="仿宋_GB2312"/>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6、没有重大违法记录书面声明：参加政府采购活动近三年内，在经营活动中没有重大违法记录书面声明（加盖公章）；</w:t>
      </w:r>
    </w:p>
    <w:p>
      <w:pPr>
        <w:pStyle w:val="null3"/>
      </w:pPr>
      <w:r>
        <w:rPr>
          <w:rFonts w:ascii="仿宋_GB2312" w:hAnsi="仿宋_GB2312" w:cs="仿宋_GB2312" w:eastAsia="仿宋_GB2312"/>
        </w:rPr>
        <w:t>7、信誉截图：供应商不得为“信用中国”网站（www.creditchina.gov.cn）中列入严重失信主体名单，供应商不得为“中国执行信息公开网”（http://zxgk.court.gov.cn/shixin/） 中列入严重失信被执行人，供应商不得为政府采购严重违法失信行为记录名单的供应商，（提供查询结果网页截图）；</w:t>
      </w:r>
    </w:p>
    <w:p>
      <w:pPr>
        <w:pStyle w:val="null3"/>
      </w:pPr>
      <w:r>
        <w:rPr>
          <w:rFonts w:ascii="仿宋_GB2312" w:hAnsi="仿宋_GB2312" w:cs="仿宋_GB2312" w:eastAsia="仿宋_GB2312"/>
        </w:rPr>
        <w:t>8、控股管理关系：单位负责人为同一人或者存在直接控股、管理关系的供应商，不得参加同一合同下的政府采购活动；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9、不接受联合体磋商：本项目不接受联合体磋商（提供承诺书）。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西安中国画院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西安市含光路南段14号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029-88219613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陕西翰联建设项目管理有限责任公司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陕西省西安市雁塔区陕西省西安市曲江新区雁翔路与重阳路交叉口汉华中心52号楼11层02室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支凯薇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18220586889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代理服务费以实际中标价为计算基数，参照国家计委[2002]1980号文件《招标代理服务收费管理暂行办法》、发改委[2011]534号文件《关于降低部分建设项目收费标准规范收费行为等有关问题的通知》规定的收费标准下浮20%收取。 2.成交代理服务费由成交人支付，成交单位在领取成交通知书前，须向采购代理机构一次性支付代理服务费。 开户名称：陕西翰联建设项目管理有限责任公司 开户银行：中国民生银行股份有限公司西安枫林绿洲支行 账号：155421057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西安中国画院</w:t>
      </w:r>
      <w:r>
        <w:rPr>
          <w:rFonts w:ascii="仿宋_GB2312" w:hAnsi="仿宋_GB2312" w:cs="仿宋_GB2312" w:eastAsia="仿宋_GB2312"/>
        </w:rPr>
        <w:t>和</w:t>
      </w:r>
      <w:r>
        <w:rPr>
          <w:rFonts w:ascii="仿宋_GB2312" w:hAnsi="仿宋_GB2312" w:cs="仿宋_GB2312" w:eastAsia="仿宋_GB2312"/>
        </w:rPr>
        <w:t>陕西翰联建设项目管理有限责任公司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西安中国画院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陕西翰联建设项目管理有限责任公司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西安中国画院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陕西翰联建设项目管理有限责任公司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陕西翰联建设项目管理有限责任公司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陕西翰联建设项目管理有限责任公司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陕西翰联建设项目管理有限责任公司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联系人：支凯薇</w:t>
      </w:r>
    </w:p>
    <w:p>
      <w:pPr>
        <w:pStyle w:val="null3"/>
      </w:pPr>
      <w:r>
        <w:rPr>
          <w:rFonts w:ascii="仿宋_GB2312" w:hAnsi="仿宋_GB2312" w:cs="仿宋_GB2312" w:eastAsia="仿宋_GB2312"/>
        </w:rPr>
        <w:t>联系电话：18220586889</w:t>
      </w:r>
    </w:p>
    <w:p>
      <w:pPr>
        <w:pStyle w:val="null3"/>
      </w:pPr>
      <w:r>
        <w:rPr>
          <w:rFonts w:ascii="仿宋_GB2312" w:hAnsi="仿宋_GB2312" w:cs="仿宋_GB2312" w:eastAsia="仿宋_GB2312"/>
        </w:rPr>
        <w:t>地址：西安市曲江新区雁翔路与重阳路交叉口汉华中心52号楼11层01室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繁荣发展西安文化旅游，由西安中国画院策划实施，拟推出“画西安百景”活动，组织全国优秀画家深入到西安市各区县、开发区，各名山大川、名胜古迹、旅游景点、地标性建筑、红色爱国主义教育基地、特色小镇等地，一人一景，以现场写生的形式，表现美丽西安的人文景色、历史风貌、旅游资源及现代化建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西安新丝路“双百”美术精品创作工程（第二期）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标的名称：西安新丝路“双百”美术精品创作工程（第二期）</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为繁荣发展西安文化旅游，由西安中国画院策划实施，拟推出“画西安百景”活动，组织全国优秀画家深入到西安市各区县、开发区，各名山大川、名胜古迹、旅游景点、地标性建筑、红色爱国主义教育基地、特色小镇等地，一人一景，以现场写生的形式，表现美丽西安的人文景色、历史风貌、旅游资源及现代化建设。</w:t>
            </w:r>
          </w:p>
        </w:tc>
        <w:tc>
          <w:tcPr>
            <w:tcW w:type="dxa" w:w="2076"/>
          </w:tcPr>
          <w:p>
            <w:pPr>
              <w:pStyle w:val="null3"/>
              <w:spacing w:before="165" w:after="165"/>
              <w:jc w:val="left"/>
            </w:pPr>
            <w:r>
              <w:rPr>
                <w:rFonts w:ascii="仿宋_GB2312" w:hAnsi="仿宋_GB2312" w:cs="仿宋_GB2312" w:eastAsia="仿宋_GB2312"/>
                <w:sz w:val="18"/>
                <w:b/>
              </w:rPr>
              <w:t>1.</w:t>
            </w:r>
            <w:r>
              <w:rPr>
                <w:rFonts w:ascii="仿宋_GB2312" w:hAnsi="仿宋_GB2312" w:cs="仿宋_GB2312" w:eastAsia="仿宋_GB2312"/>
                <w:sz w:val="18"/>
                <w:b/>
              </w:rPr>
              <w:t>采购内容</w:t>
            </w:r>
          </w:p>
          <w:p>
            <w:pPr>
              <w:pStyle w:val="null3"/>
              <w:ind w:firstLine="482"/>
              <w:jc w:val="both"/>
            </w:pPr>
            <w:r>
              <w:rPr>
                <w:rFonts w:ascii="仿宋_GB2312" w:hAnsi="仿宋_GB2312" w:cs="仿宋_GB2312" w:eastAsia="仿宋_GB2312"/>
                <w:sz w:val="18"/>
                <w:b/>
              </w:rPr>
              <w:t>1.1项目背景</w:t>
            </w:r>
          </w:p>
          <w:p>
            <w:pPr>
              <w:pStyle w:val="null3"/>
              <w:ind w:firstLine="480"/>
              <w:jc w:val="both"/>
            </w:pPr>
            <w:r>
              <w:rPr>
                <w:rFonts w:ascii="仿宋_GB2312" w:hAnsi="仿宋_GB2312" w:cs="仿宋_GB2312" w:eastAsia="仿宋_GB2312"/>
                <w:sz w:val="18"/>
              </w:rPr>
              <w:t>为深入贯彻落实党的精神，践行总书记的文化思想、文化发展理念和在文艺工作座谈会上的重要讲话精神，进一步落实《中共中央关于繁荣发展社会主义文艺的意见》要求，为落实省、市党代会精神，打造“长安画派”文化品牌，助力西安美术高质量发展，我院拟举办西安新丝路“双百”美术精品创作工程（第二期）。</w:t>
            </w:r>
          </w:p>
          <w:p>
            <w:pPr>
              <w:pStyle w:val="null3"/>
              <w:ind w:firstLine="482"/>
              <w:jc w:val="both"/>
            </w:pPr>
            <w:r>
              <w:rPr>
                <w:rFonts w:ascii="仿宋_GB2312" w:hAnsi="仿宋_GB2312" w:cs="仿宋_GB2312" w:eastAsia="仿宋_GB2312"/>
                <w:sz w:val="18"/>
                <w:b/>
              </w:rPr>
              <w:t>1.2项目内容</w:t>
            </w:r>
          </w:p>
          <w:p>
            <w:pPr>
              <w:pStyle w:val="null3"/>
              <w:ind w:firstLine="480"/>
              <w:jc w:val="both"/>
            </w:pPr>
            <w:r>
              <w:rPr>
                <w:rFonts w:ascii="仿宋_GB2312" w:hAnsi="仿宋_GB2312" w:cs="仿宋_GB2312" w:eastAsia="仿宋_GB2312"/>
                <w:sz w:val="18"/>
              </w:rPr>
              <w:t>“百人”工程</w:t>
            </w:r>
          </w:p>
          <w:p>
            <w:pPr>
              <w:pStyle w:val="null3"/>
              <w:ind w:firstLine="480"/>
              <w:jc w:val="both"/>
            </w:pPr>
            <w:r>
              <w:rPr>
                <w:rFonts w:ascii="仿宋_GB2312" w:hAnsi="仿宋_GB2312" w:cs="仿宋_GB2312" w:eastAsia="仿宋_GB2312"/>
                <w:sz w:val="18"/>
              </w:rPr>
              <w:t>西安是中华文明的根脉城市，文化历史底蕴深厚，如今在“一带一路”倡议下，作为丝路起点这一重要地标，如何以绘画的形式表现好、描绘好西安文明发展的脉络及在丝绸之路上的重要地位，挖掘传承丝路文明的优秀传统文化，是我院长期思考的问题。</w:t>
            </w:r>
          </w:p>
          <w:p>
            <w:pPr>
              <w:pStyle w:val="null3"/>
              <w:ind w:firstLine="480"/>
              <w:jc w:val="both"/>
            </w:pPr>
            <w:r>
              <w:rPr>
                <w:rFonts w:ascii="仿宋_GB2312" w:hAnsi="仿宋_GB2312" w:cs="仿宋_GB2312" w:eastAsia="仿宋_GB2312"/>
                <w:sz w:val="18"/>
              </w:rPr>
              <w:t>自2017年起，我院成立了西安市重大题材创作选题中心专家组，积极提供选题，现已初步征集到与丝绸之路及大西安历史文化相关的古今中外名人及文化遗产、丝路起点西安新貌等选题。</w:t>
            </w:r>
          </w:p>
          <w:p>
            <w:pPr>
              <w:pStyle w:val="null3"/>
              <w:ind w:firstLine="480"/>
              <w:jc w:val="both"/>
            </w:pPr>
            <w:r>
              <w:rPr>
                <w:rFonts w:ascii="仿宋_GB2312" w:hAnsi="仿宋_GB2312" w:cs="仿宋_GB2312" w:eastAsia="仿宋_GB2312"/>
                <w:sz w:val="18"/>
              </w:rPr>
              <w:t>我院组织的文、史、艺术专家一致认为应该兼顾历史性与艺术性、思想性、真实性的统一，按在丝绸之路及西安文脉中起过重要作用的人物及事件为代表，按帝祖、名相、名人、西商、宗教、重要事件、代表景观等分类，选取代表人物及事件进行表现。</w:t>
            </w:r>
          </w:p>
          <w:p>
            <w:pPr>
              <w:pStyle w:val="null3"/>
              <w:ind w:firstLine="480"/>
              <w:jc w:val="both"/>
            </w:pPr>
            <w:r>
              <w:rPr>
                <w:rFonts w:ascii="仿宋_GB2312" w:hAnsi="仿宋_GB2312" w:cs="仿宋_GB2312" w:eastAsia="仿宋_GB2312"/>
                <w:sz w:val="18"/>
              </w:rPr>
              <w:t>“百景”工程</w:t>
            </w:r>
          </w:p>
          <w:p>
            <w:pPr>
              <w:pStyle w:val="null3"/>
              <w:ind w:firstLine="480"/>
              <w:jc w:val="both"/>
            </w:pPr>
            <w:r>
              <w:rPr>
                <w:rFonts w:ascii="仿宋_GB2312" w:hAnsi="仿宋_GB2312" w:cs="仿宋_GB2312" w:eastAsia="仿宋_GB2312"/>
                <w:sz w:val="18"/>
              </w:rPr>
              <w:t>为繁荣发展西安文化旅游，由西安中国画院策划实施，拟推出“画西安百景”活动，组织全国优秀画家深入到西安市各区县、开发区，各名山大川、名胜古迹、旅游景点、地标性建筑、红色爱国主义教育基地、特色小镇等地，一人一景，以现场写生的形式，表现美丽西安的人文景色、历史风貌、旅游资源及现代化建设。</w:t>
            </w:r>
          </w:p>
          <w:p>
            <w:pPr>
              <w:pStyle w:val="null3"/>
              <w:ind w:firstLine="480"/>
              <w:jc w:val="both"/>
            </w:pPr>
            <w:r>
              <w:rPr>
                <w:rFonts w:ascii="仿宋_GB2312" w:hAnsi="仿宋_GB2312" w:cs="仿宋_GB2312" w:eastAsia="仿宋_GB2312"/>
                <w:sz w:val="18"/>
                <w:b/>
              </w:rPr>
              <w:t>1.3作品要求</w:t>
            </w:r>
          </w:p>
          <w:p>
            <w:pPr>
              <w:pStyle w:val="null3"/>
              <w:ind w:firstLine="480"/>
              <w:jc w:val="both"/>
            </w:pPr>
            <w:r>
              <w:rPr>
                <w:rFonts w:ascii="仿宋_GB2312" w:hAnsi="仿宋_GB2312" w:cs="仿宋_GB2312" w:eastAsia="仿宋_GB2312"/>
                <w:sz w:val="18"/>
              </w:rPr>
              <w:t>紧扣主题，立意明确，表达清晰</w:t>
            </w:r>
          </w:p>
          <w:p>
            <w:pPr>
              <w:pStyle w:val="null3"/>
              <w:ind w:firstLine="480"/>
              <w:jc w:val="both"/>
            </w:pPr>
            <w:r>
              <w:rPr>
                <w:rFonts w:ascii="仿宋_GB2312" w:hAnsi="仿宋_GB2312" w:cs="仿宋_GB2312" w:eastAsia="仿宋_GB2312"/>
                <w:sz w:val="18"/>
              </w:rPr>
              <w:t>尺寸：高150cm，宽97cm（一律竖构图）</w:t>
            </w:r>
          </w:p>
          <w:p>
            <w:pPr>
              <w:pStyle w:val="null3"/>
              <w:ind w:firstLine="480"/>
              <w:jc w:val="both"/>
            </w:pPr>
            <w:r>
              <w:rPr>
                <w:rFonts w:ascii="仿宋_GB2312" w:hAnsi="仿宋_GB2312" w:cs="仿宋_GB2312" w:eastAsia="仿宋_GB2312"/>
                <w:sz w:val="18"/>
              </w:rPr>
              <w:t>画种：中国画、版画、水彩水粉画</w:t>
            </w:r>
          </w:p>
          <w:p>
            <w:pPr>
              <w:pStyle w:val="null3"/>
              <w:ind w:firstLine="482"/>
              <w:jc w:val="both"/>
            </w:pPr>
            <w:r>
              <w:rPr>
                <w:rFonts w:ascii="仿宋_GB2312" w:hAnsi="仿宋_GB2312" w:cs="仿宋_GB2312" w:eastAsia="仿宋_GB2312"/>
                <w:sz w:val="18"/>
                <w:b/>
              </w:rPr>
              <w:t>1.4</w:t>
            </w:r>
            <w:r>
              <w:rPr>
                <w:rFonts w:ascii="仿宋_GB2312" w:hAnsi="仿宋_GB2312" w:cs="仿宋_GB2312" w:eastAsia="仿宋_GB2312"/>
                <w:sz w:val="18"/>
                <w:b/>
              </w:rPr>
              <w:t>预期效益</w:t>
            </w:r>
          </w:p>
          <w:p>
            <w:pPr>
              <w:pStyle w:val="null3"/>
              <w:ind w:firstLine="480"/>
              <w:jc w:val="both"/>
            </w:pPr>
            <w:r>
              <w:rPr>
                <w:rFonts w:ascii="仿宋_GB2312" w:hAnsi="仿宋_GB2312" w:cs="仿宋_GB2312" w:eastAsia="仿宋_GB2312"/>
                <w:sz w:val="18"/>
              </w:rPr>
              <w:t>1、社会效益上，有利于繁荣发展西安文化旅游事业，营造良好的社会文化氛围，宣传大西安新貌，打造丝路文化新高地。</w:t>
            </w:r>
          </w:p>
          <w:p>
            <w:pPr>
              <w:pStyle w:val="null3"/>
              <w:ind w:firstLine="480"/>
              <w:jc w:val="both"/>
            </w:pPr>
            <w:r>
              <w:rPr>
                <w:rFonts w:ascii="仿宋_GB2312" w:hAnsi="仿宋_GB2312" w:cs="仿宋_GB2312" w:eastAsia="仿宋_GB2312"/>
                <w:sz w:val="18"/>
              </w:rPr>
              <w:t>2、文化效益上，有助于挖掘西安的传统文化内涵。</w:t>
            </w:r>
          </w:p>
          <w:p>
            <w:pPr>
              <w:pStyle w:val="null3"/>
              <w:ind w:firstLine="480"/>
              <w:jc w:val="both"/>
            </w:pPr>
            <w:r>
              <w:rPr>
                <w:rFonts w:ascii="仿宋_GB2312" w:hAnsi="仿宋_GB2312" w:cs="仿宋_GB2312" w:eastAsia="仿宋_GB2312"/>
                <w:sz w:val="18"/>
              </w:rPr>
              <w:t>3、艺术效益上，有利于繁荣西安美术创作，推介一批有思想、有温度的优秀作品，满足人民日益增长的艺术鉴赏需求。</w:t>
            </w:r>
          </w:p>
          <w:p>
            <w:pPr>
              <w:pStyle w:val="null3"/>
              <w:ind w:firstLine="480"/>
              <w:jc w:val="both"/>
            </w:pPr>
            <w:r>
              <w:rPr>
                <w:rFonts w:ascii="仿宋_GB2312" w:hAnsi="仿宋_GB2312" w:cs="仿宋_GB2312" w:eastAsia="仿宋_GB2312"/>
                <w:sz w:val="18"/>
              </w:rPr>
              <w:t>4、人才效益上，通过“名师带高徒”的形式，有利于培养一批中青年骨干画家。</w:t>
            </w:r>
          </w:p>
          <w:p>
            <w:pPr>
              <w:pStyle w:val="null3"/>
              <w:ind w:firstLine="480"/>
              <w:jc w:val="both"/>
            </w:pPr>
            <w:r>
              <w:rPr>
                <w:rFonts w:ascii="仿宋_GB2312" w:hAnsi="仿宋_GB2312" w:cs="仿宋_GB2312" w:eastAsia="仿宋_GB2312"/>
                <w:sz w:val="18"/>
              </w:rPr>
              <w:t>5、学术效益上，全部项目完成后出版配套文献集及作品集，有利于对丝路起点内涵进行学术梳理。</w:t>
            </w:r>
          </w:p>
          <w:p>
            <w:pPr>
              <w:pStyle w:val="null3"/>
              <w:jc w:val="both"/>
            </w:pPr>
            <w:r>
              <w:rPr>
                <w:rFonts w:ascii="仿宋_GB2312" w:hAnsi="仿宋_GB2312" w:cs="仿宋_GB2312" w:eastAsia="仿宋_GB2312"/>
                <w:sz w:val="18"/>
                <w:b/>
              </w:rPr>
              <w:t>2.宣传推广</w:t>
            </w:r>
          </w:p>
          <w:p>
            <w:pPr>
              <w:pStyle w:val="null3"/>
              <w:ind w:firstLine="480"/>
              <w:jc w:val="both"/>
            </w:pPr>
            <w:r>
              <w:rPr>
                <w:rFonts w:ascii="仿宋_GB2312" w:hAnsi="仿宋_GB2312" w:cs="仿宋_GB2312" w:eastAsia="仿宋_GB2312"/>
                <w:sz w:val="18"/>
              </w:rPr>
              <w:t>在华商报、文化艺术报及西安文旅之声、西安中国画院微信公众号、视频号上广泛宣传。</w:t>
            </w:r>
          </w:p>
          <w:p>
            <w:pPr>
              <w:pStyle w:val="null3"/>
              <w:spacing w:before="165" w:after="165"/>
              <w:jc w:val="left"/>
            </w:pPr>
            <w:r>
              <w:rPr>
                <w:rFonts w:ascii="仿宋_GB2312" w:hAnsi="仿宋_GB2312" w:cs="仿宋_GB2312" w:eastAsia="仿宋_GB2312"/>
                <w:sz w:val="18"/>
                <w:b/>
              </w:rPr>
              <w:t>3</w:t>
            </w:r>
            <w:r>
              <w:rPr>
                <w:rFonts w:ascii="仿宋_GB2312" w:hAnsi="仿宋_GB2312" w:cs="仿宋_GB2312" w:eastAsia="仿宋_GB2312"/>
                <w:sz w:val="18"/>
                <w:b/>
              </w:rPr>
              <w:t>.采购清单</w:t>
            </w:r>
          </w:p>
          <w:tbl>
            <w:tblPr>
              <w:tblBorders>
                <w:top w:val="none" w:color="000000" w:sz="4"/>
                <w:left w:val="none" w:color="000000" w:sz="4"/>
                <w:bottom w:val="none" w:color="000000" w:sz="4"/>
                <w:right w:val="none" w:color="000000" w:sz="4"/>
                <w:insideH w:val="none"/>
                <w:insideV w:val="none"/>
              </w:tblBorders>
            </w:tblPr>
            <w:tblGrid>
              <w:gridCol w:w="221"/>
              <w:gridCol w:w="997"/>
              <w:gridCol w:w="329"/>
              <w:gridCol w:w="304"/>
            </w:tblGrid>
            <w:tr>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9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项目名称</w:t>
                  </w:r>
                </w:p>
              </w:tc>
              <w:tc>
                <w:tcPr>
                  <w:tcW w:type="dxa" w:w="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创作辅导费</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作品征集费</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资料收集费</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活动即时拍摄费</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作品装裱装框</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管理及税费</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bl>
          <w:p>
            <w:pPr>
              <w:pStyle w:val="null3"/>
              <w:ind w:firstLine="48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签订合同之日起至2025年11月30日（如遇不可预见事宜，可顺延）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1.乙方将系列艺术活动完成后，通知甲方验收。 2.甲方组织乙方在活动结束后进行最终验收，验收合格后，填写项目验收单。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合同签订后，甲方于5个工作日内向乙方支付合同总金额的40%</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实施进度计划完成过半，乙方向甲方提交付款申请，甲方确认后；甲方向乙方支付合同总金额的30%</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实施进度计划完成，乙方向甲方提交付款申请，甲方确认后；甲方向乙方支付合同总金额的30%</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合同要求提供艺术活动或艺术活动服务质量不能满足合同要求的，甲方应当将乙方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具有独立承担民事责任能力的法人、其他组织或自然人，并出具合法有效的营业执照等国家规定的相关证明，自然人参与的提供其身份证明（提供复印件加盖公章）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供应商代表资格</w:t>
            </w:r>
          </w:p>
        </w:tc>
        <w:tc>
          <w:tcPr>
            <w:tcW w:type="dxa" w:w="3322"/>
          </w:tcPr>
          <w:p>
            <w:pPr>
              <w:pStyle w:val="null3"/>
            </w:pPr>
            <w:r>
              <w:rPr>
                <w:rFonts w:ascii="仿宋_GB2312" w:hAnsi="仿宋_GB2312" w:cs="仿宋_GB2312" w:eastAsia="仿宋_GB2312"/>
              </w:rPr>
              <w:t>供应商应授权合法的人员参加采购活动全过程，其中法定代表人直接参加磋商的，须出具法定代表人身份证，并与营业执照上信息一致；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至少包括资产负债表和利润表，成立时间至提交磋商响应文件递交截止时间不足一年的可提供成立后任意时段的资产负债表），或其基本存款账户开户银行出具的资信证明（附开户许可证或开户备案证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提供磋商截止日前一年内已缴纳的至少一个月的纳税证明或完税证明（任意税种），依法免税的单位应提供相关证明材料；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没有重大违法记录书面声明</w:t>
            </w:r>
          </w:p>
        </w:tc>
        <w:tc>
          <w:tcPr>
            <w:tcW w:type="dxa" w:w="3322"/>
          </w:tcPr>
          <w:p>
            <w:pPr>
              <w:pStyle w:val="null3"/>
            </w:pPr>
            <w:r>
              <w:rPr>
                <w:rFonts w:ascii="仿宋_GB2312" w:hAnsi="仿宋_GB2312" w:cs="仿宋_GB2312" w:eastAsia="仿宋_GB2312"/>
              </w:rPr>
              <w:t>参加政府采购活动近三年内，在经营活动中没有重大违法记录书面声明（加盖公章）；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信誉截图</w:t>
            </w:r>
          </w:p>
        </w:tc>
        <w:tc>
          <w:tcPr>
            <w:tcW w:type="dxa" w:w="3322"/>
          </w:tcPr>
          <w:p>
            <w:pPr>
              <w:pStyle w:val="null3"/>
            </w:pPr>
            <w:r>
              <w:rPr>
                <w:rFonts w:ascii="仿宋_GB2312" w:hAnsi="仿宋_GB2312" w:cs="仿宋_GB2312" w:eastAsia="仿宋_GB2312"/>
              </w:rPr>
              <w:t>供应商不得为“信用中国”网站（www.creditchina.gov.cn）中列入严重失信主体名单，供应商不得为“中国执行信息公开网”（http://zxgk.court.gov.cn/shixin/） 中列入严重失信被执行人，供应商不得为政府采购严重违法失信行为记录名单的供应商，（提供查询结果网页截图）；</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整体策划方案</w:t>
            </w:r>
          </w:p>
        </w:tc>
        <w:tc>
          <w:tcPr>
            <w:tcW w:type="dxa" w:w="2492"/>
          </w:tcPr>
          <w:p>
            <w:pPr>
              <w:pStyle w:val="null3"/>
            </w:pPr>
            <w:r>
              <w:rPr>
                <w:rFonts w:ascii="仿宋_GB2312" w:hAnsi="仿宋_GB2312" w:cs="仿宋_GB2312" w:eastAsia="仿宋_GB2312"/>
              </w:rPr>
              <w:t>供应商提供针对本项目提供整体策划方案，综合考虑方案对采购需求的响应程度。 方案完整度高、针对性极强、统筹能力强、可执行性强、方案考虑全面得15＜得分≤20分； 方案完整度较高、针对性较强、统筹能力较强、可执行性较强、方案考虑较到位得10＜得分≤15分； 方案完整度一般、策划能力较差、针对性较差、无执行性、方案考虑不到位得5＜得分≤10分； 方案完整度差、不具有策划能力、无针对性得1≤得分≤5分； 未提供本项内容得0分。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宣传推广</w:t>
            </w:r>
          </w:p>
        </w:tc>
        <w:tc>
          <w:tcPr>
            <w:tcW w:type="dxa" w:w="2492"/>
          </w:tcPr>
          <w:p>
            <w:pPr>
              <w:pStyle w:val="null3"/>
            </w:pPr>
            <w:r>
              <w:rPr>
                <w:rFonts w:ascii="仿宋_GB2312" w:hAnsi="仿宋_GB2312" w:cs="仿宋_GB2312" w:eastAsia="仿宋_GB2312"/>
              </w:rPr>
              <w:t>宣传方案思路清晰，制作流程完整，质量完成满足采购要求，得10＜得分≤15分 宣传方案思路相对清晰，制作流程基本完整，质量完成基本满足采购要求，5＜得分≤10分； 宣传方案内容空洞，属于简单套用，质量完成品质较差，1≤得分≤5分； 未提供本项内容得0分。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综合考虑工作进度安排是否合理、可行，是否满足项目需求。 安排完善、科学合理，各环节衔接紧凑，可执行性强，能够完全满足采购需求的得10＜得分≤15分； 安排较为完善、较科学合理，各环节衔接较紧凑，可执行性较强，基本满足采购需求的得5＜得分≤10分； 工作进度安排不完整，工作内容安排不合理，不能完全满足采购需求的1≤得分≤5分； 未提供本项内容得0分。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综合考虑供应商针对本项目拟派的项目团队的经验及能力。 团队组成人员安排合理、专业性强、分工明确，且人员经验丰富，完全满足采购需求，得10＜得分≤15分； 团队组成人员安排较为合理、专业性较强、分工较为明确，人员经验较丰富，基本满足采购需求，得5＜得分≤10分； 团队组成人员安排差、专业性较弱、分工不明，人员经验较差，不满足采购需求，得1≤得分≤5分； 未提供本项内容得0分。 注：须提供人员组成名单等证明材料，并加盖投标人公章。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综合考虑应急预案的科学性、完整性（包括但不限于各活动的应急预案预案等，以及对项目需求的响应程度）。 方案科学合理，具有完善的应急管理体系,防范意识高，风险把控能力强，完全满足采购需求的，得3＜得分≤5分； 方案科学性合理性一般，应急管理体系及措施一般，防范意识不足，勉强满足采购需求的，得1≤得分≤3分； 未提供本项内容得0分。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供应商提供自2022年1月1日至磋商响应文件提交截至时间主办或承办过类似创作工程的业绩证明文件（以合同协议书为准），每提供1个有效业绩得2分，最高不超过10分。 评审依据：供应商提供合同复印件加盖公章附在磋商响应文件中。</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1.经初审合格的响应文件，其磋商的最后报价为有效报价。 2.磋商基准价=最后的最低投标报价。 3.磋商报价得分=（磋商基准价/最终磋商报价）×20。 4.投标报价不完整的，不进入评标基准价的计算，本项得0分。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详见附件：西安新丝路“双百”美术精品创作工程（第二期）合同.docx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