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版本号：HSGJ2025-10620250414002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特色秦岭推介活动项目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HSGJ2025-106</w:t>
      </w:r>
      <w:r>
        <w:br/>
      </w:r>
      <w:r>
        <w:br/>
      </w:r>
      <w:r>
        <w:br/>
      </w:r>
    </w:p>
    <w:p>
      <w:pPr>
        <w:pStyle w:val="null3"/>
        <w:jc w:val="center"/>
        <w:outlineLvl w:val="2"/>
      </w:pPr>
      <w:r>
        <w:rPr>
          <w:rFonts w:ascii="仿宋_GB2312" w:hAnsi="仿宋_GB2312" w:cs="仿宋_GB2312" w:eastAsia="仿宋_GB2312"/>
          <w:sz w:val="28"/>
          <w:b/>
        </w:rPr>
        <w:t>西安市秦岭生态环境保护管理局（本级）</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西安市秦岭生态环境保护管理局（本级）</w:t>
      </w:r>
      <w:r>
        <w:rPr>
          <w:rFonts w:ascii="仿宋_GB2312" w:hAnsi="仿宋_GB2312" w:cs="仿宋_GB2312" w:eastAsia="仿宋_GB2312"/>
        </w:rPr>
        <w:t>委托，拟对</w:t>
      </w:r>
      <w:r>
        <w:rPr>
          <w:rFonts w:ascii="仿宋_GB2312" w:hAnsi="仿宋_GB2312" w:cs="仿宋_GB2312" w:eastAsia="仿宋_GB2312"/>
        </w:rPr>
        <w:t>特色秦岭推介活动项目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HSGJ2025-106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特色秦岭推介活动项目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特色秦岭推介活动项目，具体内容详见第三章。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w:t>
      </w:r>
    </w:p>
    <w:p>
      <w:pPr>
        <w:pStyle w:val="null3"/>
      </w:pPr>
      <w:r>
        <w:rPr>
          <w:rFonts w:ascii="仿宋_GB2312" w:hAnsi="仿宋_GB2312" w:cs="仿宋_GB2312" w:eastAsia="仿宋_GB2312"/>
        </w:rPr>
        <w:t>3、税收缴纳证明：提供2024年7月1日至今已缴纳的任意1个月的纳税证明或完税证明，依法免税的单位应提供相关证明材料；</w:t>
      </w:r>
    </w:p>
    <w:p>
      <w:pPr>
        <w:pStyle w:val="null3"/>
      </w:pPr>
      <w:r>
        <w:rPr>
          <w:rFonts w:ascii="仿宋_GB2312" w:hAnsi="仿宋_GB2312" w:cs="仿宋_GB2312" w:eastAsia="仿宋_GB2312"/>
        </w:rPr>
        <w:t>4、社会保障资金缴纳证明：提供2024年7月1日至今已缴纳的任意1个月的社会保障资金缴存单据或社保机构开具的社会保险参保缴费情况证明，依法不需要缴纳社会保障资金的单位应提供相关证明材料；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6、专业技术能力证明：提供具有履行合同所必需的设备和专业技术能力的承诺；</w:t>
      </w:r>
    </w:p>
    <w:p>
      <w:pPr>
        <w:pStyle w:val="null3"/>
      </w:pPr>
      <w:r>
        <w:rPr>
          <w:rFonts w:ascii="仿宋_GB2312" w:hAnsi="仿宋_GB2312" w:cs="仿宋_GB2312" w:eastAsia="仿宋_GB2312"/>
        </w:rPr>
        <w:t>7、法定代表人委托授权书\身份证明：法定代表人授权书及被授权人身份证（法定代表人直接参加磋商的须提供其法定代表人身份证），非法人单位参照执行。</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西安市秦岭生态环境保护管理局（本级）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西安市长安区关中环线子午段2345号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029-89801355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曹美奇、杨阳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转账事由：HSGJ2025-106项目代理服务费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西安市秦岭生态环境保护管理局（本级）</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西安市秦岭生态环境保护管理局（本级）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西安市秦岭生态环境保护管理局（本级）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联系人：曹美奇、杨阳</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与</w:t>
      </w:r>
      <w:r>
        <w:rPr>
          <w:rFonts w:ascii="仿宋_GB2312" w:hAnsi="仿宋_GB2312" w:cs="仿宋_GB2312" w:eastAsia="仿宋_GB2312"/>
          <w:sz w:val="21"/>
        </w:rPr>
        <w:t>主流</w:t>
      </w:r>
      <w:r>
        <w:rPr>
          <w:rFonts w:ascii="仿宋_GB2312" w:hAnsi="仿宋_GB2312" w:cs="仿宋_GB2312" w:eastAsia="仿宋_GB2312"/>
          <w:sz w:val="21"/>
        </w:rPr>
        <w:t>网络媒体策划开展</w:t>
      </w:r>
      <w:r>
        <w:rPr>
          <w:rFonts w:ascii="仿宋_GB2312" w:hAnsi="仿宋_GB2312" w:cs="仿宋_GB2312" w:eastAsia="仿宋_GB2312"/>
          <w:sz w:val="21"/>
        </w:rPr>
        <w:t>“特色秦岭推介活动项目”网上主题宣传系列活动；主要功能或目标：通过“特色秦岭推介活动项目”系列活动，结合新媒体传播力影响力，撬动二次网络传播，实现秦岭生态环境保护所需的宣传效果。持续多维度、深层次、高站位讲好秦岭故事、传播好秦岭保护法律法规、挖掘传承好秦岭文化。需满足的要求：线上宣传和线下宣传相互结合，宣传内容要符合国家和地方关于秦岭环境保护的法律法规、政策方针，不能传播错误信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特色秦岭推介活动项目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标的名称：特色秦岭推介活动项目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2"/>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项目概况</w:t>
            </w:r>
          </w:p>
          <w:p>
            <w:pPr>
              <w:pStyle w:val="null3"/>
            </w:pPr>
            <w:r>
              <w:rPr>
                <w:rFonts w:ascii="仿宋_GB2312" w:hAnsi="仿宋_GB2312" w:cs="仿宋_GB2312" w:eastAsia="仿宋_GB2312"/>
                <w:sz w:val="24"/>
                <w:color w:val="000000"/>
              </w:rPr>
              <w:t>与</w:t>
            </w:r>
            <w:r>
              <w:rPr>
                <w:rFonts w:ascii="仿宋_GB2312" w:hAnsi="仿宋_GB2312" w:cs="仿宋_GB2312" w:eastAsia="仿宋_GB2312"/>
                <w:sz w:val="24"/>
                <w:color w:val="000000"/>
              </w:rPr>
              <w:t>主流</w:t>
            </w:r>
            <w:r>
              <w:rPr>
                <w:rFonts w:ascii="仿宋_GB2312" w:hAnsi="仿宋_GB2312" w:cs="仿宋_GB2312" w:eastAsia="仿宋_GB2312"/>
                <w:sz w:val="24"/>
                <w:color w:val="000000"/>
              </w:rPr>
              <w:t>网络媒体策</w:t>
            </w:r>
            <w:r>
              <w:rPr>
                <w:rFonts w:ascii="仿宋_GB2312" w:hAnsi="仿宋_GB2312" w:cs="仿宋_GB2312" w:eastAsia="仿宋_GB2312"/>
                <w:sz w:val="24"/>
                <w:color w:val="000000"/>
              </w:rPr>
              <w:t>划开展</w:t>
            </w:r>
            <w:r>
              <w:rPr>
                <w:rFonts w:ascii="仿宋_GB2312" w:hAnsi="仿宋_GB2312" w:cs="仿宋_GB2312" w:eastAsia="仿宋_GB2312"/>
                <w:sz w:val="24"/>
                <w:color w:val="000000"/>
              </w:rPr>
              <w:t>“特色秦岭推介活动活动”网上主题宣传系列活动；主要功能或目标：通过“特色秦岭推介活动活动”系列活动，结合新媒体传播力影响力，撬动二次网络传播，实现秦岭生态环境保护所需的宣传效果。持续多维度、深层次、高站位讲好秦岭故事、传播好秦岭保护法律法规、挖掘传承好秦岭文化。需满足的要求：线上宣传和线下宣传相互结合，宣传内容要符合国家和地方关于秦岭环境保护的法律法规、政策方针，不能传播错误信息。</w:t>
            </w:r>
          </w:p>
          <w:p>
            <w:pPr>
              <w:pStyle w:val="null3"/>
              <w:ind w:firstLine="482"/>
              <w:jc w:val="both"/>
            </w:pPr>
            <w:r>
              <w:rPr>
                <w:rFonts w:ascii="仿宋_GB2312" w:hAnsi="仿宋_GB2312" w:cs="仿宋_GB2312" w:eastAsia="仿宋_GB2312"/>
                <w:sz w:val="24"/>
                <w:b/>
                <w:color w:val="000000"/>
              </w:rPr>
              <w:t>二、服务内容（包括工作区域、工作内容等）</w:t>
            </w:r>
          </w:p>
          <w:tbl>
            <w:tblPr>
              <w:tblInd w:type="dxa" w:w="285"/>
              <w:tblBorders>
                <w:top w:val="none" w:color="000000" w:sz="4"/>
                <w:left w:val="none" w:color="000000" w:sz="4"/>
                <w:bottom w:val="none" w:color="000000" w:sz="4"/>
                <w:right w:val="none" w:color="000000" w:sz="4"/>
                <w:insideH w:val="none"/>
                <w:insideV w:val="none"/>
              </w:tblBorders>
            </w:tblPr>
            <w:tblGrid>
              <w:gridCol w:w="168"/>
              <w:gridCol w:w="1372"/>
              <w:gridCol w:w="320"/>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数量</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主流</w:t>
                  </w:r>
                  <w:r>
                    <w:rPr>
                      <w:rFonts w:ascii="仿宋_GB2312" w:hAnsi="仿宋_GB2312" w:cs="仿宋_GB2312" w:eastAsia="仿宋_GB2312"/>
                      <w:sz w:val="24"/>
                    </w:rPr>
                    <w:t>网络媒体</w:t>
                  </w:r>
                  <w:r>
                    <w:rPr>
                      <w:rFonts w:ascii="仿宋_GB2312" w:hAnsi="仿宋_GB2312" w:cs="仿宋_GB2312" w:eastAsia="仿宋_GB2312"/>
                      <w:sz w:val="24"/>
                    </w:rPr>
                    <w:t>首页</w:t>
                  </w:r>
                  <w:r>
                    <w:rPr>
                      <w:rFonts w:ascii="仿宋_GB2312" w:hAnsi="仿宋_GB2312" w:cs="仿宋_GB2312" w:eastAsia="仿宋_GB2312"/>
                      <w:sz w:val="24"/>
                    </w:rPr>
                    <w:t>专题</w:t>
                  </w:r>
                  <w:r>
                    <w:rPr>
                      <w:rFonts w:ascii="仿宋_GB2312" w:hAnsi="仿宋_GB2312" w:cs="仿宋_GB2312" w:eastAsia="仿宋_GB2312"/>
                      <w:sz w:val="24"/>
                    </w:rPr>
                    <w:t>续订</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8"/>
                  <w:vMerge/>
                  <w:tcBorders>
                    <w:top w:val="none" w:color="000000" w:sz="4"/>
                    <w:left w:val="single" w:color="000000" w:sz="4"/>
                    <w:bottom w:val="single" w:color="000000" w:sz="4"/>
                    <w:right w:val="single" w:color="000000" w:sz="4"/>
                  </w:tcBorders>
                </w:tcP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权威</w:t>
                  </w:r>
                  <w:r>
                    <w:rPr>
                      <w:rFonts w:ascii="仿宋_GB2312" w:hAnsi="仿宋_GB2312" w:cs="仿宋_GB2312" w:eastAsia="仿宋_GB2312"/>
                      <w:sz w:val="24"/>
                    </w:rPr>
                    <w:t>网络媒体平台</w:t>
                  </w:r>
                  <w:r>
                    <w:rPr>
                      <w:rFonts w:ascii="仿宋_GB2312" w:hAnsi="仿宋_GB2312" w:cs="仿宋_GB2312" w:eastAsia="仿宋_GB2312"/>
                      <w:sz w:val="24"/>
                    </w:rPr>
                    <w:t xml:space="preserve"> </w:t>
                  </w:r>
                  <w:r>
                    <w:rPr>
                      <w:rFonts w:ascii="仿宋_GB2312" w:hAnsi="仿宋_GB2312" w:cs="仿宋_GB2312" w:eastAsia="仿宋_GB2312"/>
                      <w:sz w:val="24"/>
                    </w:rPr>
                    <w:t>频道</w:t>
                  </w:r>
                  <w:r>
                    <w:rPr>
                      <w:rFonts w:ascii="仿宋_GB2312" w:hAnsi="仿宋_GB2312" w:cs="仿宋_GB2312" w:eastAsia="仿宋_GB2312"/>
                      <w:sz w:val="24"/>
                    </w:rPr>
                    <w:t>首页通栏位</w:t>
                  </w:r>
                  <w:r>
                    <w:rPr>
                      <w:rFonts w:ascii="仿宋_GB2312" w:hAnsi="仿宋_GB2312" w:cs="仿宋_GB2312" w:eastAsia="仿宋_GB2312"/>
                      <w:sz w:val="24"/>
                    </w:rPr>
                    <w:t>-A2推广</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8"/>
                  <w:vMerge/>
                  <w:tcBorders>
                    <w:top w:val="none" w:color="000000" w:sz="4"/>
                    <w:left w:val="single" w:color="000000" w:sz="4"/>
                    <w:bottom w:val="single" w:color="000000" w:sz="4"/>
                    <w:right w:val="single" w:color="000000" w:sz="4"/>
                  </w:tcBorders>
                </w:tcP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权威</w:t>
                  </w:r>
                  <w:r>
                    <w:rPr>
                      <w:rFonts w:ascii="仿宋_GB2312" w:hAnsi="仿宋_GB2312" w:cs="仿宋_GB2312" w:eastAsia="仿宋_GB2312"/>
                      <w:sz w:val="24"/>
                    </w:rPr>
                    <w:t>网络媒体平台</w:t>
                  </w:r>
                  <w:r>
                    <w:rPr>
                      <w:rFonts w:ascii="仿宋_GB2312" w:hAnsi="仿宋_GB2312" w:cs="仿宋_GB2312" w:eastAsia="仿宋_GB2312"/>
                      <w:sz w:val="24"/>
                    </w:rPr>
                    <w:t>稿件编</w:t>
                  </w:r>
                  <w:r>
                    <w:rPr>
                      <w:rFonts w:ascii="仿宋_GB2312" w:hAnsi="仿宋_GB2312" w:cs="仿宋_GB2312" w:eastAsia="仿宋_GB2312"/>
                      <w:sz w:val="24"/>
                    </w:rPr>
                    <w:t>采支持</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全年</w:t>
                  </w:r>
                </w:p>
              </w:tc>
            </w:tr>
            <w:tr>
              <w:tc>
                <w:tcPr>
                  <w:tcW w:type="dxa" w:w="168"/>
                  <w:vMerge/>
                  <w:tcBorders>
                    <w:top w:val="none" w:color="000000" w:sz="4"/>
                    <w:left w:val="single" w:color="000000" w:sz="4"/>
                    <w:bottom w:val="single" w:color="000000" w:sz="4"/>
                    <w:right w:val="single" w:color="000000" w:sz="4"/>
                  </w:tcBorders>
                </w:tcP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权威</w:t>
                  </w:r>
                  <w:r>
                    <w:rPr>
                      <w:rFonts w:ascii="仿宋_GB2312" w:hAnsi="仿宋_GB2312" w:cs="仿宋_GB2312" w:eastAsia="仿宋_GB2312"/>
                      <w:sz w:val="24"/>
                    </w:rPr>
                    <w:t>网络媒体平台微博话题</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全年</w:t>
                  </w:r>
                </w:p>
              </w:tc>
            </w:tr>
            <w:tr>
              <w:tc>
                <w:tcPr>
                  <w:tcW w:type="dxa" w:w="168"/>
                  <w:vMerge/>
                  <w:tcBorders>
                    <w:top w:val="none" w:color="000000" w:sz="4"/>
                    <w:left w:val="single" w:color="000000" w:sz="4"/>
                    <w:bottom w:val="single" w:color="000000" w:sz="4"/>
                    <w:right w:val="single" w:color="000000" w:sz="4"/>
                  </w:tcBorders>
                </w:tcP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权威</w:t>
                  </w:r>
                  <w:r>
                    <w:rPr>
                      <w:rFonts w:ascii="仿宋_GB2312" w:hAnsi="仿宋_GB2312" w:cs="仿宋_GB2312" w:eastAsia="仿宋_GB2312"/>
                      <w:sz w:val="24"/>
                    </w:rPr>
                    <w:t>网络媒体平台视频号推送</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个</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秦岭生态文明教育</w:t>
                  </w:r>
                  <w:r>
                    <w:rPr>
                      <w:rFonts w:ascii="仿宋_GB2312" w:hAnsi="仿宋_GB2312" w:cs="仿宋_GB2312" w:eastAsia="仿宋_GB2312"/>
                      <w:sz w:val="24"/>
                    </w:rPr>
                    <w:t>“</w:t>
                  </w:r>
                  <w:r>
                    <w:rPr>
                      <w:rFonts w:ascii="仿宋_GB2312" w:hAnsi="仿宋_GB2312" w:cs="仿宋_GB2312" w:eastAsia="仿宋_GB2312"/>
                      <w:sz w:val="24"/>
                    </w:rPr>
                    <w:t>同上一堂</w:t>
                  </w:r>
                  <w:r>
                    <w:rPr>
                      <w:rFonts w:ascii="仿宋_GB2312" w:hAnsi="仿宋_GB2312" w:cs="仿宋_GB2312" w:eastAsia="仿宋_GB2312"/>
                      <w:sz w:val="24"/>
                    </w:rPr>
                    <w:t>大思政</w:t>
                  </w:r>
                  <w:r>
                    <w:rPr>
                      <w:rFonts w:ascii="仿宋_GB2312" w:hAnsi="仿宋_GB2312" w:cs="仿宋_GB2312" w:eastAsia="仿宋_GB2312"/>
                      <w:sz w:val="24"/>
                    </w:rPr>
                    <w:t>大</w:t>
                  </w:r>
                  <w:r>
                    <w:rPr>
                      <w:rFonts w:ascii="仿宋_GB2312" w:hAnsi="仿宋_GB2312" w:cs="仿宋_GB2312" w:eastAsia="仿宋_GB2312"/>
                      <w:sz w:val="24"/>
                    </w:rPr>
                    <w:t>课</w:t>
                  </w:r>
                  <w:r>
                    <w:rPr>
                      <w:rFonts w:ascii="仿宋_GB2312" w:hAnsi="仿宋_GB2312" w:cs="仿宋_GB2312" w:eastAsia="仿宋_GB2312"/>
                      <w:sz w:val="24"/>
                    </w:rPr>
                    <w:t>”策划制作、传播推广</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8"/>
                  <w:vMerge/>
                  <w:tcBorders>
                    <w:top w:val="none" w:color="000000" w:sz="4"/>
                    <w:left w:val="single" w:color="000000" w:sz="4"/>
                    <w:bottom w:val="single" w:color="000000" w:sz="4"/>
                    <w:right w:val="single" w:color="000000" w:sz="4"/>
                  </w:tcBorders>
                </w:tcPr>
                <w:p/>
              </w:tc>
              <w:tc>
                <w:tcPr>
                  <w:tcW w:type="dxa" w:w="1372"/>
                  <w:vMerge/>
                  <w:tcBorders>
                    <w:top w:val="none" w:color="000000" w:sz="4"/>
                    <w:left w:val="single" w:color="000000" w:sz="4"/>
                    <w:bottom w:val="single" w:color="000000" w:sz="4"/>
                    <w:right w:val="single" w:color="000000" w:sz="4"/>
                  </w:tcBorders>
                </w:tc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策划组织《守护秦岭家园</w:t>
                  </w:r>
                  <w:r>
                    <w:rPr>
                      <w:rFonts w:ascii="仿宋_GB2312" w:hAnsi="仿宋_GB2312" w:cs="仿宋_GB2312" w:eastAsia="仿宋_GB2312"/>
                      <w:sz w:val="24"/>
                    </w:rPr>
                    <w:t>——“我是秦岭生态小卫士”系列活动》，开展“秦岭保护科普进校园”及“探索秦岭生物多样性科学实践”系列活动。</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8"/>
                  <w:vMerge/>
                  <w:tcBorders>
                    <w:top w:val="none" w:color="000000" w:sz="4"/>
                    <w:left w:val="single" w:color="000000" w:sz="4"/>
                    <w:bottom w:val="single" w:color="000000" w:sz="4"/>
                    <w:right w:val="single" w:color="000000" w:sz="4"/>
                  </w:tcBorders>
                </w:tcPr>
                <w:p/>
              </w:tc>
              <w:tc>
                <w:tcPr>
                  <w:tcW w:type="dxa" w:w="1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举办</w:t>
                  </w:r>
                  <w:r>
                    <w:rPr>
                      <w:rFonts w:ascii="仿宋_GB2312" w:hAnsi="仿宋_GB2312" w:cs="仿宋_GB2312" w:eastAsia="仿宋_GB2312"/>
                      <w:sz w:val="24"/>
                    </w:rPr>
                    <w:t>“把秦岭讲给你听”青少年主题短视频演讲、作文大赛</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（一）项目验收由采购人或其委托的专家或第三方机构对项目进行验收，验收时，中标人应无条件予以配合并提供所需的全部文件。 （二）验收依据：竞争性磋商文件、响应文件、合同文本、国内相应的标准、规范。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合同签订，达到付款条件起30日内，支付合同总金额的60.00%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验收合格后15个工作日（以此处为准），达到付款条件起 15 日内，支付合同总金额的 40.00%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1.甲乙双方应正当行使权利，履行义务，保证本合同的顺利进行。 2.甲乙双方应严格遵守合同，正当行使权利，积极履行义务。如因一方违约（包括迟延履行、履行不当、拒绝履行）造成对方损失的，违约方应当承担损害赔偿责任。本合同中提及的损失包括但不限于守约方经济利益的减损、守约方为证实违约方之违约行为所支出的各项调查取证、公证费用，守约方为寻求救济而支付的诉讼费用、保全费、律师代理费、咨询费以及法院执行费用等。 3.乙方未按照约定的时间或者内容为甲方提供服务的，自逾期之日起，甲方有权按照合同金额千分之五的标准按日收取违约金。若乙方逾期超过15日的，甲方有权单方解除本合同，要求乙方退还已支付的全部合同价款，并按照合同总价款的30%支付违约金。无论甲方是否解除合同，均不免除乙方按照上述约定应支付的违约金，同时乙方赔偿甲方因此遭受的一切损失。 4.若甲方未按本合同约定履行付款义务的，乙方有权暂停提供服务，且甲方每迟延一日，应向乙方支付应付未付款项【千分之一】违约金，如甲方迟延超过【15】日的，乙方有权解除本合同，甲方应按照正常收费标准向乙方补齐服务费用，同时，乙方不予退还甲方已支付费用，由此给乙方造成损失的，甲方应当予以赔偿。但甲方因财政支付审批等非归责于甲方的原因导致付款迟延的，不承担违约责任。 5.甲方有下列行为之一的，乙方有权解除本合同，所收取的费用不予退还；同时由此引发的一切责任由甲方承担，并赔偿因此给乙方造成的全部损失： （1）甲方所提供的内容侵权情节严重，给乙方造成恶劣影响的； （2）甲方及甲方的工作人员以乙方名义，对外开展或参加任何活动的； （3）甲方及甲方的工作人员以乙方名义对外开展或参加规定业务范围以外的任何活动的。 6.乙方有下列行为之一的，甲方有权单方解除本合同，要求乙方退还甲方已支付的全部合同价款，并按照合同总价款的30%支付违约金，若给甲方造成其他损失的，乙方应继续承担赔偿责任： （1）乙方交付的工作成果违反党和国家的方针政策，违反法律、法规、政策及公共道德准则，损害其他第三方的合法权益，给甲方造成不良影响的； （2）乙方未按照甲方要求提供服务或者提供的服务不符合合同约定，经催告后仍不改正的。 （3）乙方违反本合同保密条款约定，给甲方造成恶劣影响的。 （4）乙方所设计的内容侵权情节严重，给甲方造成恶劣影响的。 7.如双方就本合同内容或执行发生任何争议，双方应友好协商，协商不成时，可向原告所在地有管辖权的法院提起诉讼。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达到付款条件并准备结算前，成交人须开具等额发票给采购人，采购人收到发票后，按照支付约定结算。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提供2024年7月1日至今已缴纳的任意1个月的纳税证明或完税证明，依法免税的单位应提供相关证明材料；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提供2024年7月1日至今已缴纳的任意1个月的社会保障资金缴存单据或社保机构开具的社会保险参保缴费情况证明，依法不需要缴纳社会保障资金的单位应提供相关证明材料；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w:t>
            </w:r>
          </w:p>
        </w:tc>
        <w:tc>
          <w:tcPr>
            <w:tcW w:type="dxa" w:w="1661"/>
          </w:tcPr>
          <w:p>
            <w:pPr>
              <w:pStyle w:val="null3"/>
            </w:pPr>
            <w:r>
              <w:rPr>
                <w:rFonts w:ascii="仿宋_GB2312" w:hAnsi="仿宋_GB2312" w:cs="仿宋_GB2312" w:eastAsia="仿宋_GB2312"/>
              </w:rPr>
              <w:t>法定代表人证明书及法定代表人授权书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商务偏离表 服务需求响应表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中小企业声明函 报价表 分项报价明细表 法定代表人证明书及法定代表人授权书 服务需求响应表 响应文件封面 资格证明文件 类似项目业绩 商务偏离表 残疾人福利性单位声明函 磋商响应单位承诺书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整体服务方案包括本项目各阶段的组织协调工作、服务标准、服务流程、服务内容、服务响应等。 1.方案完整、详尽、计划合理、可行、满足项目需求针对性强的，得10分。 2.计划方案完整性、合理性、可行性较强，较好的满足项目需求，得8分； 3.计划方案完整性、合理性、可行性基本满足项目需求，得6分； 4.计划方案基本满足本次活动的要求，可行性一般，得4分； 5.计划方案宽泛内容一般可行性差，得2分； 6.未提供相关内容的不得分。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供应商根据采购内容在各大主流媒体对活动做好宣传（包括但不限于宣传平台、宣传覆盖面、二次传播途径等）能够全方位、多手段、多方式展示秦岭故事，有效传播好秦岭保护法律法规，从而在一定程度上扩大传播力、影响力、覆盖面。 1.宣传方案完整、详尽、计划合理、可行、满足项目需求针对性强的，得10分。 2.宣传方案完整性、合理性、可行性较强，较好的满足项目需求，得8分； 3.宣传方案完整性、合理性、可行性基本满足项目需求，得6分； 4.宣传方案基本满足本次活动的要求，可行性一般，得4分； 5.宣传方案一般，可行性差，得2分； 6.未提供相关内容的不得分。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日常运营</w:t>
            </w:r>
          </w:p>
        </w:tc>
        <w:tc>
          <w:tcPr>
            <w:tcW w:type="dxa" w:w="2492"/>
          </w:tcPr>
          <w:p>
            <w:pPr>
              <w:pStyle w:val="null3"/>
            </w:pPr>
            <w:r>
              <w:rPr>
                <w:rFonts w:ascii="仿宋_GB2312" w:hAnsi="仿宋_GB2312" w:cs="仿宋_GB2312" w:eastAsia="仿宋_GB2312"/>
              </w:rPr>
              <w:t>根据采购内容完成本项目的视频号、微博话题的日常运营、信息发布、调查互动等运维工作。 1.方案完整、详尽、合理、可行、满足项目需求针对性强的，得8分； 2.方案完整性、合理性、可行性较强，较好的满足项目需求，得6分； 3.方案基本满足本次活动的要求，可行性一般，得4分； 4.方案宽泛内容一般，可行性差，得2分； 5.未提供相关内容的不得分。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供应商针对本项目提供服务团队的人员配备方案具有专业的执行团队（包括但不限于项目负责人、策划、宣传、管理等岗位设置），提供人员证明材料（不限于毕业证或学历证、资格证等相关证明材料复印件）。 1.人员配备合理，专业性强，经验丰富，职责分工明确，得10分； 2.人员配备较合理，专业性较强，经验较丰富，职责分工较明确，得8分； 3.人员配备基本合理，专业性经验基本丰富，职责分工基本明确，得6分； 4.人员配备一般、专业性一般，经验欠缺，职责分工一般，得4分； 5.人员配备合理差、专业性差，职责分工不明确，得2分； 6.未提供相关内容的不得分。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活动策划方案</w:t>
            </w:r>
          </w:p>
        </w:tc>
        <w:tc>
          <w:tcPr>
            <w:tcW w:type="dxa" w:w="2492"/>
          </w:tcPr>
          <w:p>
            <w:pPr>
              <w:pStyle w:val="null3"/>
            </w:pPr>
            <w:r>
              <w:rPr>
                <w:rFonts w:ascii="仿宋_GB2312" w:hAnsi="仿宋_GB2312" w:cs="仿宋_GB2312" w:eastAsia="仿宋_GB2312"/>
              </w:rPr>
              <w:t>供应商根据活动内容提供活动策划方案。 1.供应商提供的方案详细清楚，内容充分，策划到位，充分满足项目推广效果与总体目标，得6分； 2.供应商提供的策划方案比较详细；工作方式比较有条理性，基本满足项目推广效果要求及总体目标，得4分； 3.供应商提供的方案措施内容粗糙，策划方案空洞，工作方式没有条理性，不能满足项目推广效果要求及总体目标，得2分； 4.未提供相关内容的不得分。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材料设备投入计划</w:t>
            </w:r>
          </w:p>
        </w:tc>
        <w:tc>
          <w:tcPr>
            <w:tcW w:type="dxa" w:w="2492"/>
          </w:tcPr>
          <w:p>
            <w:pPr>
              <w:pStyle w:val="null3"/>
            </w:pPr>
            <w:r>
              <w:rPr>
                <w:rFonts w:ascii="仿宋_GB2312" w:hAnsi="仿宋_GB2312" w:cs="仿宋_GB2312" w:eastAsia="仿宋_GB2312"/>
              </w:rPr>
              <w:t>根据完成本项目须提供的相关物品（包括主背景板、会场导视牌、舞台及配套地毯，同时配备相应尺寸及规格的舞台踏步、演讲台、LED高清屏幕、灯光、音响等设备）明确投入计划。 1.材料设备配备齐全，质量可靠，充分满足服务需求，有备品备件，得6分； 2.材料设备配备基本齐全，质量基本可靠，满足服务需求，得4分； 3.材料设备配备紧张，基本满足服务需求，得2分。 4.未提供相关内容的不得分。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服务质量保证方案</w:t>
            </w:r>
          </w:p>
        </w:tc>
        <w:tc>
          <w:tcPr>
            <w:tcW w:type="dxa" w:w="2492"/>
          </w:tcPr>
          <w:p>
            <w:pPr>
              <w:pStyle w:val="null3"/>
            </w:pPr>
            <w:r>
              <w:rPr>
                <w:rFonts w:ascii="仿宋_GB2312" w:hAnsi="仿宋_GB2312" w:cs="仿宋_GB2312" w:eastAsia="仿宋_GB2312"/>
              </w:rPr>
              <w:t>提供针对本项目的服务质量保证方案（包括：健全的质量控制体系、针对本项目的质量把控方案、质量保证措施，并有质量目标无法实现时的认罚承诺等）。 1.方案内容全面 、可行、针对性强，得6分； 2.方案内容较全面、可行，有一定的针对性，得4分； 3.方案内容简单笼统或不全面，无针对性，得2分 4.未提供相关内容的不得分。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满足用户的服务要求，对完成项目所涉及的货物、服务等方面具有详细的服务承诺； 1.服务承诺完善，内容详细、科学合理、针对性强，得6分； 2.服务承诺基本完善，保证措施内容不够详细，有一定针对性，得4分； 3.服务承诺简单笼统，保证措施内容粗略，针对性欠缺，得2分； 4.未提供相关内容的不得分。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进度目标及保障措施</w:t>
            </w:r>
          </w:p>
        </w:tc>
        <w:tc>
          <w:tcPr>
            <w:tcW w:type="dxa" w:w="2492"/>
          </w:tcPr>
          <w:p>
            <w:pPr>
              <w:pStyle w:val="null3"/>
            </w:pPr>
            <w:r>
              <w:rPr>
                <w:rFonts w:ascii="仿宋_GB2312" w:hAnsi="仿宋_GB2312" w:cs="仿宋_GB2312" w:eastAsia="仿宋_GB2312"/>
              </w:rPr>
              <w:t>供应商针对本项目提供详细的进度目标及内控保障措施： 1.进度目标及保障措施详尽，完全满足采购人需求，能够保证服务，及时协调解决各类问题，得6分； 2.进度目标及保障措施基本完善，基本满足采购人需求，保证服务，基本能协调解决各类问题，得4分； 3.进度目标及保障措施简略，部分满足采购人需求，及协调解决各类问题的能力不强，得2分； 4.未提供相关内容的不得分。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安全保障方案：针对本项目具体情况，供应商提供可靠的安全保障方案（包括但不限于服务中的网络信息安全、活动现场治安、 消防、观众进退场等）。 1.方案内容完善，措施针对性、合理性、可行性强，得6分； 2.方案内容基本完善，措施有一定的合理性、可行性，得4分； 3.方案内容简单笼统，措施缺乏针对性，得2分； 4.未提供相关内容的不得分。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突发事件应急预案</w:t>
            </w:r>
          </w:p>
        </w:tc>
        <w:tc>
          <w:tcPr>
            <w:tcW w:type="dxa" w:w="2492"/>
          </w:tcPr>
          <w:p>
            <w:pPr>
              <w:pStyle w:val="null3"/>
            </w:pPr>
            <w:r>
              <w:rPr>
                <w:rFonts w:ascii="仿宋_GB2312" w:hAnsi="仿宋_GB2312" w:cs="仿宋_GB2312" w:eastAsia="仿宋_GB2312"/>
              </w:rPr>
              <w:t>制定合理、可行的各种突发情况（包含服务中出现的突发事件、现场秩序调节、活动效果调动、停电、断网、所提供的设备及材料出现质量问题等）的应急预案。 1.应急预案内容完善，应对措施全面、可行性强、考虑充分，能够确保活动顺利开展，得6分； 2.应急预案内容基本完善，应对措施的可 行性较强，考虑得当，基本能够确保活动顺利开展，得4分； 3.应急预案内容基本完善，应对措施有一定可行性，考虑不足，得2分； 4.未提供相关内容的不得分。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供应商自2022年1月1日起至今具有类似项目业绩，每提供1份得2分，最多得10分。 注：1、以合同协议书复印件加盖公章为准。2、时间以合同协议书签订时间为准。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经资格审查、符合性审查合格的磋商响应文件，其磋商报价为有效磋商报价。满足磋商文件要求且磋商价格最低的磋商报价为评标基准价，其价格分为满分。价格分按照下列公式计算。 报价总得分=（评标基准价/磋商总报价）×10 符合磋商文件规定的小型或微型企业或监狱企业或残疾人福利性单位优惠条件的投标人，价格给予10%的扣除，用扣除后的价格参与评审。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w:t>
      </w:r>
    </w:p>
    <w:p>
      <w:pPr>
        <w:pStyle w:val="null3"/>
        <w:ind w:firstLine="960"/>
      </w:pPr>
      <w:r>
        <w:rPr>
          <w:rFonts w:ascii="仿宋_GB2312" w:hAnsi="仿宋_GB2312" w:cs="仿宋_GB2312" w:eastAsia="仿宋_GB2312"/>
        </w:rPr>
        <w:t>详见附件：法定代表人证明书及法定代表人授权书</w:t>
      </w:r>
    </w:p>
    <w:p>
      <w:pPr>
        <w:pStyle w:val="null3"/>
        <w:ind w:firstLine="960"/>
      </w:pPr>
      <w:r>
        <w:rPr>
          <w:rFonts w:ascii="仿宋_GB2312" w:hAnsi="仿宋_GB2312" w:cs="仿宋_GB2312" w:eastAsia="仿宋_GB2312"/>
        </w:rPr>
        <w:t>详见附件：服务需求响应表</w:t>
      </w:r>
    </w:p>
    <w:p>
      <w:pPr>
        <w:pStyle w:val="null3"/>
        <w:ind w:firstLine="960"/>
      </w:pPr>
      <w:r>
        <w:rPr>
          <w:rFonts w:ascii="仿宋_GB2312" w:hAnsi="仿宋_GB2312" w:cs="仿宋_GB2312" w:eastAsia="仿宋_GB2312"/>
        </w:rPr>
        <w:t>详见附件：商务偏离表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详见附件：类似项目业绩</w:t>
      </w:r>
    </w:p>
    <w:p>
      <w:pPr>
        <w:pStyle w:val="null3"/>
        <w:ind w:firstLine="960"/>
      </w:pPr>
      <w:r>
        <w:rPr>
          <w:rFonts w:ascii="仿宋_GB2312" w:hAnsi="仿宋_GB2312" w:cs="仿宋_GB2312" w:eastAsia="仿宋_GB2312"/>
        </w:rPr>
        <w:t>详见附件：磋商响应方案说明</w:t>
      </w:r>
    </w:p>
    <w:p>
      <w:pPr>
        <w:pStyle w:val="null3"/>
        <w:ind w:firstLine="960"/>
      </w:pPr>
      <w:r>
        <w:rPr>
          <w:rFonts w:ascii="仿宋_GB2312" w:hAnsi="仿宋_GB2312" w:cs="仿宋_GB2312" w:eastAsia="仿宋_GB2312"/>
        </w:rPr>
        <w:t>详见附件：磋商响应单位承诺书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