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版本号：0617-2521FZ066420250414001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0617-2521FZ0664</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外宣项目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0617-2521FZ0664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外宣项目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为提升西安职业技术学院的社会知晓度、认可度、美誉度，树立学院品牌，同时提振我院学生的自信心、就业率及社会地位，增强学院招生宣传效果，促进学院高质量发展，拟开展西安职业技术学院2025年度外宣项目。 按照西安职业技术学院2025年度重点工作安排以及招生季时间节点，整体宣传工作计划分为“品牌打造期、招生引爆期、持续提升期”三阶段，全面开展对外宣传工作。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13892886071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收款账号：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西安职业技术学院的社会知晓度、认可度、美誉度，树立学院品牌，同时提振我院学生的自信心、就业率及社会地位，增强学院招生宣传效果，促进学院高质量发展，拟开展西安职业技术学院2025年度外宣项目。 按照西安职业技术学院2025年度重点工作安排以及招生季时间节点，整体宣传工作计划分为“品牌打造期、招生引爆期、持续提升期”三阶段，全面开展对外宣传工作。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西安职业技术学院对外宣传项目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标的名称：西安职业技术学院对外宣传项目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rPr>
              <w:t>一</w:t>
            </w:r>
            <w:r>
              <w:rPr>
                <w:rFonts w:ascii="仿宋_GB2312" w:hAnsi="仿宋_GB2312" w:cs="仿宋_GB2312" w:eastAsia="仿宋_GB2312"/>
              </w:rPr>
              <w:t>、服务内容</w:t>
            </w:r>
          </w:p>
          <w:p>
            <w:pPr>
              <w:pStyle w:val="null3"/>
              <w:ind w:firstLine="560"/>
              <w:jc w:val="both"/>
            </w:pPr>
            <w:r>
              <w:rPr>
                <w:rFonts w:ascii="仿宋_GB2312" w:hAnsi="仿宋_GB2312" w:cs="仿宋_GB2312" w:eastAsia="仿宋_GB2312"/>
              </w:rPr>
              <w:t>（一）</w:t>
            </w:r>
            <w:r>
              <w:rPr>
                <w:rFonts w:ascii="仿宋_GB2312" w:hAnsi="仿宋_GB2312" w:cs="仿宋_GB2312" w:eastAsia="仿宋_GB2312"/>
              </w:rPr>
              <w:t>客运站精准投放</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西安</w:t>
            </w:r>
            <w:r>
              <w:rPr>
                <w:rFonts w:ascii="仿宋_GB2312" w:hAnsi="仿宋_GB2312" w:cs="仿宋_GB2312" w:eastAsia="仿宋_GB2312"/>
              </w:rPr>
              <w:t>城西客运站</w:t>
            </w:r>
            <w:r>
              <w:rPr>
                <w:rFonts w:ascii="仿宋_GB2312" w:hAnsi="仿宋_GB2312" w:cs="仿宋_GB2312" w:eastAsia="仿宋_GB2312"/>
              </w:rPr>
              <w:t>。入门处（正对发车区）位置投放西安职业技术学院宣传信息，广告牌（约高</w:t>
            </w:r>
            <w:r>
              <w:rPr>
                <w:rFonts w:ascii="仿宋_GB2312" w:hAnsi="仿宋_GB2312" w:cs="仿宋_GB2312" w:eastAsia="仿宋_GB2312"/>
              </w:rPr>
              <w:t>2.5m*</w:t>
            </w:r>
            <w:r>
              <w:rPr>
                <w:rFonts w:ascii="仿宋_GB2312" w:hAnsi="仿宋_GB2312" w:cs="仿宋_GB2312" w:eastAsia="仿宋_GB2312"/>
              </w:rPr>
              <w:t>长</w:t>
            </w:r>
            <w:r>
              <w:rPr>
                <w:rFonts w:ascii="仿宋_GB2312" w:hAnsi="仿宋_GB2312" w:cs="仿宋_GB2312" w:eastAsia="仿宋_GB2312"/>
              </w:rPr>
              <w:t>8m</w:t>
            </w:r>
            <w:r>
              <w:rPr>
                <w:rFonts w:ascii="仿宋_GB2312" w:hAnsi="仿宋_GB2312" w:cs="仿宋_GB2312" w:eastAsia="仿宋_GB2312"/>
              </w:rPr>
              <w:t>）静态投放，包含宣传信息的撰写、设计、制作。投放周期</w:t>
            </w:r>
            <w:r>
              <w:rPr>
                <w:rFonts w:ascii="仿宋_GB2312" w:hAnsi="仿宋_GB2312" w:cs="仿宋_GB2312" w:eastAsia="仿宋_GB2312"/>
              </w:rPr>
              <w:t>2</w:t>
            </w:r>
            <w:r>
              <w:rPr>
                <w:rFonts w:ascii="仿宋_GB2312" w:hAnsi="仿宋_GB2312" w:cs="仿宋_GB2312" w:eastAsia="仿宋_GB2312"/>
              </w:rPr>
              <w:t>个月</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西安</w:t>
            </w:r>
            <w:r>
              <w:rPr>
                <w:rFonts w:ascii="仿宋_GB2312" w:hAnsi="仿宋_GB2312" w:cs="仿宋_GB2312" w:eastAsia="仿宋_GB2312"/>
              </w:rPr>
              <w:t>纺织城客运站</w:t>
            </w:r>
            <w:r>
              <w:rPr>
                <w:rFonts w:ascii="仿宋_GB2312" w:hAnsi="仿宋_GB2312" w:cs="仿宋_GB2312" w:eastAsia="仿宋_GB2312"/>
              </w:rPr>
              <w:t>。进站口灯箱静态投放西安职业技术学院宣传信息，投放周期</w:t>
            </w:r>
            <w:r>
              <w:rPr>
                <w:rFonts w:ascii="仿宋_GB2312" w:hAnsi="仿宋_GB2312" w:cs="仿宋_GB2312" w:eastAsia="仿宋_GB2312"/>
              </w:rPr>
              <w:t>2</w:t>
            </w:r>
            <w:r>
              <w:rPr>
                <w:rFonts w:ascii="仿宋_GB2312" w:hAnsi="仿宋_GB2312" w:cs="仿宋_GB2312" w:eastAsia="仿宋_GB2312"/>
              </w:rPr>
              <w:t>个月</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（二）</w:t>
            </w:r>
            <w:r>
              <w:rPr>
                <w:rFonts w:ascii="仿宋_GB2312" w:hAnsi="仿宋_GB2312" w:cs="仿宋_GB2312" w:eastAsia="仿宋_GB2312"/>
              </w:rPr>
              <w:t>地铁电视（</w:t>
            </w:r>
            <w:r>
              <w:rPr>
                <w:rFonts w:ascii="仿宋_GB2312" w:hAnsi="仿宋_GB2312" w:cs="仿宋_GB2312" w:eastAsia="仿宋_GB2312"/>
              </w:rPr>
              <w:t>西安</w:t>
            </w:r>
            <w:r>
              <w:rPr>
                <w:rFonts w:ascii="仿宋_GB2312" w:hAnsi="仿宋_GB2312" w:cs="仿宋_GB2312" w:eastAsia="仿宋_GB2312"/>
              </w:rPr>
              <w:t>市内）及广告灯箱</w:t>
            </w:r>
          </w:p>
          <w:p>
            <w:pPr>
              <w:pStyle w:val="null3"/>
              <w:ind w:firstLine="560"/>
              <w:jc w:val="both"/>
            </w:pPr>
            <w:r>
              <w:rPr>
                <w:rFonts w:ascii="仿宋_GB2312" w:hAnsi="仿宋_GB2312" w:cs="仿宋_GB2312" w:eastAsia="仿宋_GB2312"/>
              </w:rPr>
              <w:t>拍摄西安职业技术学院</w:t>
            </w:r>
            <w:r>
              <w:rPr>
                <w:rFonts w:ascii="仿宋_GB2312" w:hAnsi="仿宋_GB2312" w:cs="仿宋_GB2312" w:eastAsia="仿宋_GB2312"/>
              </w:rPr>
              <w:t>2</w:t>
            </w:r>
            <w:r>
              <w:rPr>
                <w:rFonts w:ascii="仿宋_GB2312" w:hAnsi="仿宋_GB2312" w:cs="仿宋_GB2312" w:eastAsia="仿宋_GB2312"/>
              </w:rPr>
              <w:t>02</w:t>
            </w:r>
            <w:r>
              <w:rPr>
                <w:rFonts w:ascii="仿宋_GB2312" w:hAnsi="仿宋_GB2312" w:cs="仿宋_GB2312" w:eastAsia="仿宋_GB2312"/>
              </w:rPr>
              <w:t>5</w:t>
            </w:r>
            <w:r>
              <w:rPr>
                <w:rFonts w:ascii="仿宋_GB2312" w:hAnsi="仿宋_GB2312" w:cs="仿宋_GB2312" w:eastAsia="仿宋_GB2312"/>
              </w:rPr>
              <w:t>年招生宣传片（含解说词撰写）。</w:t>
            </w:r>
            <w:r>
              <w:rPr>
                <w:rFonts w:ascii="仿宋_GB2312" w:hAnsi="仿宋_GB2312" w:cs="仿宋_GB2312" w:eastAsia="仿宋_GB2312"/>
              </w:rPr>
              <w:t>西安地铁</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号线共计有约</w:t>
            </w:r>
            <w:r>
              <w:rPr>
                <w:rFonts w:ascii="仿宋_GB2312" w:hAnsi="仿宋_GB2312" w:cs="仿宋_GB2312" w:eastAsia="仿宋_GB2312"/>
              </w:rPr>
              <w:t>2</w:t>
            </w:r>
            <w:r>
              <w:rPr>
                <w:rFonts w:ascii="仿宋_GB2312" w:hAnsi="仿宋_GB2312" w:cs="仿宋_GB2312" w:eastAsia="仿宋_GB2312"/>
              </w:rPr>
              <w:t>万个电视屏</w:t>
            </w:r>
            <w:r>
              <w:rPr>
                <w:rFonts w:ascii="仿宋_GB2312" w:hAnsi="仿宋_GB2312" w:cs="仿宋_GB2312" w:eastAsia="仿宋_GB2312"/>
              </w:rPr>
              <w:t>（站屏和车屏）</w:t>
            </w:r>
            <w:r>
              <w:rPr>
                <w:rFonts w:ascii="仿宋_GB2312" w:hAnsi="仿宋_GB2312" w:cs="仿宋_GB2312" w:eastAsia="仿宋_GB2312"/>
              </w:rPr>
              <w:t>，投放</w:t>
            </w:r>
            <w:r>
              <w:rPr>
                <w:rFonts w:ascii="仿宋_GB2312" w:hAnsi="仿宋_GB2312" w:cs="仿宋_GB2312" w:eastAsia="仿宋_GB2312"/>
              </w:rPr>
              <w:t>西安职业技术学院</w:t>
            </w:r>
            <w:r>
              <w:rPr>
                <w:rFonts w:ascii="仿宋_GB2312" w:hAnsi="仿宋_GB2312" w:cs="仿宋_GB2312" w:eastAsia="仿宋_GB2312"/>
              </w:rPr>
              <w:t>2</w:t>
            </w:r>
            <w:r>
              <w:rPr>
                <w:rFonts w:ascii="仿宋_GB2312" w:hAnsi="仿宋_GB2312" w:cs="仿宋_GB2312" w:eastAsia="仿宋_GB2312"/>
              </w:rPr>
              <w:t>02</w:t>
            </w:r>
            <w:r>
              <w:rPr>
                <w:rFonts w:ascii="仿宋_GB2312" w:hAnsi="仿宋_GB2312" w:cs="仿宋_GB2312" w:eastAsia="仿宋_GB2312"/>
              </w:rPr>
              <w:t>5</w:t>
            </w:r>
            <w:r>
              <w:rPr>
                <w:rFonts w:ascii="仿宋_GB2312" w:hAnsi="仿宋_GB2312" w:cs="仿宋_GB2312" w:eastAsia="仿宋_GB2312"/>
              </w:rPr>
              <w:t>年</w:t>
            </w:r>
            <w:r>
              <w:rPr>
                <w:rFonts w:ascii="仿宋_GB2312" w:hAnsi="仿宋_GB2312" w:cs="仿宋_GB2312" w:eastAsia="仿宋_GB2312"/>
              </w:rPr>
              <w:t>招生宣传片，每次</w:t>
            </w:r>
            <w:r>
              <w:rPr>
                <w:rFonts w:ascii="仿宋_GB2312" w:hAnsi="仿宋_GB2312" w:cs="仿宋_GB2312" w:eastAsia="仿宋_GB2312"/>
              </w:rPr>
              <w:t>1</w:t>
            </w:r>
            <w:r>
              <w:rPr>
                <w:rFonts w:ascii="仿宋_GB2312" w:hAnsi="仿宋_GB2312" w:cs="仿宋_GB2312" w:eastAsia="仿宋_GB2312"/>
              </w:rPr>
              <w:t>分钟，每天投放</w:t>
            </w:r>
            <w:r>
              <w:rPr>
                <w:rFonts w:ascii="仿宋_GB2312" w:hAnsi="仿宋_GB2312" w:cs="仿宋_GB2312" w:eastAsia="仿宋_GB2312"/>
              </w:rPr>
              <w:t>8</w:t>
            </w:r>
            <w:r>
              <w:rPr>
                <w:rFonts w:ascii="仿宋_GB2312" w:hAnsi="仿宋_GB2312" w:cs="仿宋_GB2312" w:eastAsia="仿宋_GB2312"/>
              </w:rPr>
              <w:t>次，投放</w:t>
            </w:r>
            <w:r>
              <w:rPr>
                <w:rFonts w:ascii="仿宋_GB2312" w:hAnsi="仿宋_GB2312" w:cs="仿宋_GB2312" w:eastAsia="仿宋_GB2312"/>
              </w:rPr>
              <w:t>2</w:t>
            </w:r>
            <w:r>
              <w:rPr>
                <w:rFonts w:ascii="仿宋_GB2312" w:hAnsi="仿宋_GB2312" w:cs="仿宋_GB2312" w:eastAsia="仿宋_GB2312"/>
              </w:rPr>
              <w:t>个月，分别于招生前投放。</w:t>
            </w:r>
            <w:r>
              <w:rPr>
                <w:rFonts w:ascii="仿宋_GB2312" w:hAnsi="仿宋_GB2312" w:cs="仿宋_GB2312" w:eastAsia="仿宋_GB2312"/>
              </w:rPr>
              <w:t>（将侧重地铁</w:t>
            </w:r>
            <w:r>
              <w:rPr>
                <w:rFonts w:ascii="仿宋_GB2312" w:hAnsi="仿宋_GB2312" w:cs="仿宋_GB2312" w:eastAsia="仿宋_GB2312"/>
              </w:rPr>
              <w:t>3</w:t>
            </w:r>
            <w:r>
              <w:rPr>
                <w:rFonts w:ascii="仿宋_GB2312" w:hAnsi="仿宋_GB2312" w:cs="仿宋_GB2312" w:eastAsia="仿宋_GB2312"/>
              </w:rPr>
              <w:t>号线投放频率）。</w:t>
            </w:r>
          </w:p>
          <w:p>
            <w:pPr>
              <w:pStyle w:val="null3"/>
              <w:ind w:firstLine="560"/>
              <w:jc w:val="both"/>
            </w:pPr>
            <w:r>
              <w:rPr>
                <w:rFonts w:ascii="仿宋_GB2312" w:hAnsi="仿宋_GB2312" w:cs="仿宋_GB2312" w:eastAsia="仿宋_GB2312"/>
              </w:rPr>
              <w:t>地铁</w:t>
            </w:r>
            <w:r>
              <w:rPr>
                <w:rFonts w:ascii="仿宋_GB2312" w:hAnsi="仿宋_GB2312" w:cs="仿宋_GB2312" w:eastAsia="仿宋_GB2312"/>
              </w:rPr>
              <w:t>3</w:t>
            </w:r>
            <w:r>
              <w:rPr>
                <w:rFonts w:ascii="仿宋_GB2312" w:hAnsi="仿宋_GB2312" w:cs="仿宋_GB2312" w:eastAsia="仿宋_GB2312"/>
              </w:rPr>
              <w:t>号线鱼化寨站投放西安职业技术学院招生信息（</w:t>
            </w:r>
            <w:r>
              <w:rPr>
                <w:rFonts w:ascii="仿宋_GB2312" w:hAnsi="仿宋_GB2312" w:cs="仿宋_GB2312" w:eastAsia="仿宋_GB2312"/>
              </w:rPr>
              <w:t>1</w:t>
            </w:r>
            <w:r>
              <w:rPr>
                <w:rFonts w:ascii="仿宋_GB2312" w:hAnsi="仿宋_GB2312" w:cs="仿宋_GB2312" w:eastAsia="仿宋_GB2312"/>
              </w:rPr>
              <w:t>个平面灯箱），</w:t>
            </w:r>
            <w:r>
              <w:rPr>
                <w:rFonts w:ascii="仿宋_GB2312" w:hAnsi="仿宋_GB2312" w:cs="仿宋_GB2312" w:eastAsia="仿宋_GB2312"/>
              </w:rPr>
              <w:t>2</w:t>
            </w:r>
            <w:r>
              <w:rPr>
                <w:rFonts w:ascii="仿宋_GB2312" w:hAnsi="仿宋_GB2312" w:cs="仿宋_GB2312" w:eastAsia="仿宋_GB2312"/>
              </w:rPr>
              <w:t>周。</w:t>
            </w:r>
          </w:p>
          <w:p>
            <w:pPr>
              <w:pStyle w:val="null3"/>
              <w:ind w:firstLine="560"/>
              <w:jc w:val="both"/>
            </w:pPr>
            <w:r>
              <w:rPr>
                <w:rFonts w:ascii="仿宋_GB2312" w:hAnsi="仿宋_GB2312" w:cs="仿宋_GB2312" w:eastAsia="仿宋_GB2312"/>
              </w:rPr>
              <w:t>（三）</w:t>
            </w:r>
            <w:r>
              <w:rPr>
                <w:rFonts w:ascii="仿宋_GB2312" w:hAnsi="仿宋_GB2312" w:cs="仿宋_GB2312" w:eastAsia="仿宋_GB2312"/>
              </w:rPr>
              <w:t>西安广播电视台融媒体矩阵</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电视投放</w:t>
            </w:r>
          </w:p>
          <w:p>
            <w:pPr>
              <w:pStyle w:val="null3"/>
              <w:ind w:firstLine="560"/>
              <w:jc w:val="both"/>
            </w:pPr>
            <w:r>
              <w:rPr>
                <w:rFonts w:ascii="仿宋_GB2312" w:hAnsi="仿宋_GB2312" w:cs="仿宋_GB2312" w:eastAsia="仿宋_GB2312"/>
              </w:rPr>
              <w:t>播出时段</w:t>
            </w:r>
            <w:r>
              <w:rPr>
                <w:rFonts w:ascii="仿宋_GB2312" w:hAnsi="仿宋_GB2312" w:cs="仿宋_GB2312" w:eastAsia="仿宋_GB2312"/>
              </w:rPr>
              <w:t>：西安广播电视台</w:t>
            </w:r>
            <w:r>
              <w:rPr>
                <w:rFonts w:ascii="仿宋_GB2312" w:hAnsi="仿宋_GB2312" w:cs="仿宋_GB2312" w:eastAsia="仿宋_GB2312"/>
              </w:rPr>
              <w:t>新闻综合频道</w:t>
            </w:r>
            <w:r>
              <w:rPr>
                <w:rFonts w:ascii="仿宋_GB2312" w:hAnsi="仿宋_GB2312" w:cs="仿宋_GB2312" w:eastAsia="仿宋_GB2312"/>
              </w:rPr>
              <w:t>19:</w:t>
            </w:r>
            <w:r>
              <w:rPr>
                <w:rFonts w:ascii="仿宋_GB2312" w:hAnsi="仿宋_GB2312" w:cs="仿宋_GB2312" w:eastAsia="仿宋_GB2312"/>
              </w:rPr>
              <w:t>4</w:t>
            </w:r>
            <w:r>
              <w:rPr>
                <w:rFonts w:ascii="仿宋_GB2312" w:hAnsi="仿宋_GB2312" w:cs="仿宋_GB2312" w:eastAsia="仿宋_GB2312"/>
              </w:rPr>
              <w:t>0</w:t>
            </w:r>
            <w:r>
              <w:rPr>
                <w:rFonts w:ascii="仿宋_GB2312" w:hAnsi="仿宋_GB2312" w:cs="仿宋_GB2312" w:eastAsia="仿宋_GB2312"/>
              </w:rPr>
              <w:t>《西安新闻》前</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发布规格</w:t>
            </w: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秒</w:t>
            </w:r>
            <w:r>
              <w:rPr>
                <w:rFonts w:ascii="仿宋_GB2312" w:hAnsi="仿宋_GB2312" w:cs="仿宋_GB2312" w:eastAsia="仿宋_GB2312"/>
              </w:rPr>
              <w:t>品牌形象</w:t>
            </w:r>
            <w:r>
              <w:rPr>
                <w:rFonts w:ascii="仿宋_GB2312" w:hAnsi="仿宋_GB2312" w:cs="仿宋_GB2312" w:eastAsia="仿宋_GB2312"/>
              </w:rPr>
              <w:t>宣传片（含解说词撰写、宣传片拍摄及制作）</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发布</w:t>
            </w:r>
            <w:r>
              <w:rPr>
                <w:rFonts w:ascii="仿宋_GB2312" w:hAnsi="仿宋_GB2312" w:cs="仿宋_GB2312" w:eastAsia="仿宋_GB2312"/>
              </w:rPr>
              <w:t>次数：</w:t>
            </w:r>
            <w:r>
              <w:rPr>
                <w:rFonts w:ascii="仿宋_GB2312" w:hAnsi="仿宋_GB2312" w:cs="仿宋_GB2312" w:eastAsia="仿宋_GB2312"/>
              </w:rPr>
              <w:t>合作期内累计</w:t>
            </w:r>
            <w:r>
              <w:rPr>
                <w:rFonts w:ascii="仿宋_GB2312" w:hAnsi="仿宋_GB2312" w:cs="仿宋_GB2312" w:eastAsia="仿宋_GB2312"/>
              </w:rPr>
              <w:t>播出</w:t>
            </w:r>
            <w:r>
              <w:rPr>
                <w:rFonts w:ascii="仿宋_GB2312" w:hAnsi="仿宋_GB2312" w:cs="仿宋_GB2312" w:eastAsia="仿宋_GB2312"/>
              </w:rPr>
              <w:t>30</w:t>
            </w:r>
            <w:r>
              <w:rPr>
                <w:rFonts w:ascii="仿宋_GB2312" w:hAnsi="仿宋_GB2312" w:cs="仿宋_GB2312" w:eastAsia="仿宋_GB2312"/>
              </w:rPr>
              <w:t>次（时间为招生期内）</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广播投放。通过西安广播电视台</w:t>
            </w:r>
            <w:r>
              <w:rPr>
                <w:rFonts w:ascii="仿宋_GB2312" w:hAnsi="仿宋_GB2312" w:cs="仿宋_GB2312" w:eastAsia="仿宋_GB2312"/>
              </w:rPr>
              <w:t>新闻广播、交通旅游广播、音乐广播、综艺广播、资讯广播等</w:t>
            </w:r>
            <w:r>
              <w:rPr>
                <w:rFonts w:ascii="仿宋_GB2312" w:hAnsi="仿宋_GB2312" w:cs="仿宋_GB2312" w:eastAsia="仿宋_GB2312"/>
              </w:rPr>
              <w:t>5</w:t>
            </w:r>
            <w:r>
              <w:rPr>
                <w:rFonts w:ascii="仿宋_GB2312" w:hAnsi="仿宋_GB2312" w:cs="仿宋_GB2312" w:eastAsia="仿宋_GB2312"/>
              </w:rPr>
              <w:t>个广播频率播放西安职业技术学院招生宣传音频（含文稿撰写，</w:t>
            </w:r>
            <w:r>
              <w:rPr>
                <w:rFonts w:ascii="仿宋_GB2312" w:hAnsi="仿宋_GB2312" w:cs="仿宋_GB2312" w:eastAsia="仿宋_GB2312"/>
              </w:rPr>
              <w:t>1</w:t>
            </w:r>
            <w:r>
              <w:rPr>
                <w:rFonts w:ascii="仿宋_GB2312" w:hAnsi="仿宋_GB2312" w:cs="仿宋_GB2312" w:eastAsia="仿宋_GB2312"/>
              </w:rPr>
              <w:t>分钟内），每天共计投放</w:t>
            </w:r>
            <w:r>
              <w:rPr>
                <w:rFonts w:ascii="仿宋_GB2312" w:hAnsi="仿宋_GB2312" w:cs="仿宋_GB2312" w:eastAsia="仿宋_GB2312"/>
              </w:rPr>
              <w:t>20</w:t>
            </w:r>
            <w:r>
              <w:rPr>
                <w:rFonts w:ascii="仿宋_GB2312" w:hAnsi="仿宋_GB2312" w:cs="仿宋_GB2312" w:eastAsia="仿宋_GB2312"/>
              </w:rPr>
              <w:t>次，招生季前投放</w:t>
            </w:r>
            <w:r>
              <w:rPr>
                <w:rFonts w:ascii="仿宋_GB2312" w:hAnsi="仿宋_GB2312" w:cs="仿宋_GB2312" w:eastAsia="仿宋_GB2312"/>
              </w:rPr>
              <w:t>30</w:t>
            </w:r>
            <w:r>
              <w:rPr>
                <w:rFonts w:ascii="仿宋_GB2312" w:hAnsi="仿宋_GB2312" w:cs="仿宋_GB2312" w:eastAsia="仿宋_GB2312"/>
              </w:rPr>
              <w:t>天。</w:t>
            </w:r>
          </w:p>
          <w:p>
            <w:pPr>
              <w:pStyle w:val="null3"/>
              <w:ind w:firstLine="560"/>
              <w:jc w:val="both"/>
            </w:pPr>
            <w:r>
              <w:rPr>
                <w:rFonts w:ascii="仿宋_GB2312" w:hAnsi="仿宋_GB2312" w:cs="仿宋_GB2312" w:eastAsia="仿宋_GB2312"/>
              </w:rPr>
              <w:t>3.</w:t>
            </w:r>
            <w:r>
              <w:rPr>
                <w:rFonts w:ascii="仿宋_GB2312" w:hAnsi="仿宋_GB2312" w:cs="仿宋_GB2312" w:eastAsia="仿宋_GB2312"/>
              </w:rPr>
              <w:t>原点新闻</w:t>
            </w:r>
            <w:r>
              <w:rPr>
                <w:rFonts w:ascii="仿宋_GB2312" w:hAnsi="仿宋_GB2312" w:cs="仿宋_GB2312" w:eastAsia="仿宋_GB2312"/>
              </w:rPr>
              <w:t>APP</w:t>
            </w:r>
            <w:r>
              <w:rPr>
                <w:rFonts w:ascii="仿宋_GB2312" w:hAnsi="仿宋_GB2312" w:cs="仿宋_GB2312" w:eastAsia="仿宋_GB2312"/>
              </w:rPr>
              <w:t>开屏。</w:t>
            </w:r>
            <w:r>
              <w:rPr>
                <w:rFonts w:ascii="仿宋_GB2312" w:hAnsi="仿宋_GB2312" w:cs="仿宋_GB2312" w:eastAsia="仿宋_GB2312"/>
              </w:rPr>
              <w:t>服务期内，原点新闻</w:t>
            </w:r>
            <w:r>
              <w:rPr>
                <w:rFonts w:ascii="仿宋_GB2312" w:hAnsi="仿宋_GB2312" w:cs="仿宋_GB2312" w:eastAsia="仿宋_GB2312"/>
              </w:rPr>
              <w:t>APP</w:t>
            </w:r>
            <w:r>
              <w:rPr>
                <w:rFonts w:ascii="仿宋_GB2312" w:hAnsi="仿宋_GB2312" w:cs="仿宋_GB2312" w:eastAsia="仿宋_GB2312"/>
              </w:rPr>
              <w:t>画面推送西安职业技术学院品牌内容（开屏页），投放周期：</w:t>
            </w:r>
            <w:r>
              <w:rPr>
                <w:rFonts w:ascii="仿宋_GB2312" w:hAnsi="仿宋_GB2312" w:cs="仿宋_GB2312" w:eastAsia="仿宋_GB2312"/>
              </w:rPr>
              <w:t>30</w:t>
            </w:r>
            <w:r>
              <w:rPr>
                <w:rFonts w:ascii="仿宋_GB2312" w:hAnsi="仿宋_GB2312" w:cs="仿宋_GB2312" w:eastAsia="仿宋_GB2312"/>
              </w:rPr>
              <w:t>天</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二</w:t>
            </w:r>
            <w:r>
              <w:rPr>
                <w:rFonts w:ascii="仿宋_GB2312" w:hAnsi="仿宋_GB2312" w:cs="仿宋_GB2312" w:eastAsia="仿宋_GB2312"/>
              </w:rPr>
              <w:t>、技术要求</w:t>
            </w:r>
          </w:p>
          <w:p>
            <w:pPr>
              <w:pStyle w:val="null3"/>
              <w:ind w:firstLine="560"/>
              <w:jc w:val="both"/>
            </w:pPr>
            <w:r>
              <w:rPr>
                <w:rFonts w:ascii="仿宋_GB2312" w:hAnsi="仿宋_GB2312" w:cs="仿宋_GB2312" w:eastAsia="仿宋_GB2312"/>
              </w:rPr>
              <w:t>（一）动态播出。通过西安广播电视台电视频道、地铁电视、新媒体平台播出的视频均为高清格式：</w:t>
            </w:r>
            <w:r>
              <w:rPr>
                <w:rFonts w:ascii="仿宋_GB2312" w:hAnsi="仿宋_GB2312" w:cs="仿宋_GB2312" w:eastAsia="仿宋_GB2312"/>
              </w:rPr>
              <w:t>1080*1920</w:t>
            </w:r>
            <w:r>
              <w:rPr>
                <w:rFonts w:ascii="仿宋_GB2312" w:hAnsi="仿宋_GB2312" w:cs="仿宋_GB2312" w:eastAsia="仿宋_GB2312"/>
              </w:rPr>
              <w:t>。通过西安广播电视台广播频率播出的音频为</w:t>
            </w:r>
            <w:r>
              <w:rPr>
                <w:rFonts w:ascii="仿宋_GB2312" w:hAnsi="仿宋_GB2312" w:cs="仿宋_GB2312" w:eastAsia="仿宋_GB2312"/>
              </w:rPr>
              <w:t>MP3</w:t>
            </w:r>
            <w:r>
              <w:rPr>
                <w:rFonts w:ascii="仿宋_GB2312" w:hAnsi="仿宋_GB2312" w:cs="仿宋_GB2312" w:eastAsia="仿宋_GB2312"/>
              </w:rPr>
              <w:t>格式。</w:t>
            </w:r>
          </w:p>
          <w:p>
            <w:pPr>
              <w:pStyle w:val="null3"/>
              <w:ind w:firstLine="560"/>
              <w:jc w:val="both"/>
            </w:pPr>
            <w:r>
              <w:rPr>
                <w:rFonts w:ascii="仿宋_GB2312" w:hAnsi="仿宋_GB2312" w:cs="仿宋_GB2312" w:eastAsia="仿宋_GB2312"/>
              </w:rPr>
              <w:t>（二）静态投放。通过</w:t>
            </w:r>
            <w:r>
              <w:rPr>
                <w:rFonts w:ascii="仿宋_GB2312" w:hAnsi="仿宋_GB2312" w:cs="仿宋_GB2312" w:eastAsia="仿宋_GB2312"/>
              </w:rPr>
              <w:t>客运站</w:t>
            </w:r>
            <w:r>
              <w:rPr>
                <w:rFonts w:ascii="仿宋_GB2312" w:hAnsi="仿宋_GB2312" w:cs="仿宋_GB2312" w:eastAsia="仿宋_GB2312"/>
              </w:rPr>
              <w:t>、</w:t>
            </w:r>
            <w:r>
              <w:rPr>
                <w:rFonts w:ascii="仿宋_GB2312" w:hAnsi="仿宋_GB2312" w:cs="仿宋_GB2312" w:eastAsia="仿宋_GB2312"/>
              </w:rPr>
              <w:t>公交车</w:t>
            </w:r>
            <w:r>
              <w:rPr>
                <w:rFonts w:ascii="仿宋_GB2312" w:hAnsi="仿宋_GB2312" w:cs="仿宋_GB2312" w:eastAsia="仿宋_GB2312"/>
              </w:rPr>
              <w:t>、</w:t>
            </w:r>
            <w:r>
              <w:rPr>
                <w:rFonts w:ascii="仿宋_GB2312" w:hAnsi="仿宋_GB2312" w:cs="仿宋_GB2312" w:eastAsia="仿宋_GB2312"/>
              </w:rPr>
              <w:t>出租车顶彩屏</w:t>
            </w:r>
            <w:r>
              <w:rPr>
                <w:rFonts w:ascii="仿宋_GB2312" w:hAnsi="仿宋_GB2312" w:cs="仿宋_GB2312" w:eastAsia="仿宋_GB2312"/>
              </w:rPr>
              <w:t>、</w:t>
            </w:r>
            <w:r>
              <w:rPr>
                <w:rFonts w:ascii="仿宋_GB2312" w:hAnsi="仿宋_GB2312" w:cs="仿宋_GB2312" w:eastAsia="仿宋_GB2312"/>
              </w:rPr>
              <w:t>原点新闻</w:t>
            </w:r>
            <w:r>
              <w:rPr>
                <w:rFonts w:ascii="仿宋_GB2312" w:hAnsi="仿宋_GB2312" w:cs="仿宋_GB2312" w:eastAsia="仿宋_GB2312"/>
              </w:rPr>
              <w:t>APP</w:t>
            </w:r>
            <w:r>
              <w:rPr>
                <w:rFonts w:ascii="仿宋_GB2312" w:hAnsi="仿宋_GB2312" w:cs="仿宋_GB2312" w:eastAsia="仿宋_GB2312"/>
              </w:rPr>
              <w:t>开屏</w:t>
            </w:r>
            <w:r>
              <w:rPr>
                <w:rFonts w:ascii="仿宋_GB2312" w:hAnsi="仿宋_GB2312" w:cs="仿宋_GB2312" w:eastAsia="仿宋_GB2312"/>
              </w:rPr>
              <w:t>等投放的静态图片，均适合投放尺寸要求，且为高清格式。</w:t>
            </w:r>
          </w:p>
          <w:p>
            <w:pPr>
              <w:pStyle w:val="null3"/>
              <w:ind w:firstLine="560"/>
              <w:jc w:val="both"/>
            </w:pPr>
            <w:r>
              <w:rPr>
                <w:rFonts w:ascii="仿宋_GB2312" w:hAnsi="仿宋_GB2312" w:cs="仿宋_GB2312" w:eastAsia="仿宋_GB2312"/>
              </w:rPr>
              <w:t>（三）短视频拍摄。专业级摄影机及以上标准设备拍摄。拍摄素材分辨率为</w:t>
            </w:r>
            <w:r>
              <w:rPr>
                <w:rFonts w:ascii="仿宋_GB2312" w:hAnsi="仿宋_GB2312" w:cs="仿宋_GB2312" w:eastAsia="仿宋_GB2312"/>
              </w:rPr>
              <w:t>3840</w:t>
            </w:r>
            <w:r>
              <w:rPr>
                <w:rFonts w:ascii="仿宋_GB2312" w:hAnsi="仿宋_GB2312" w:cs="仿宋_GB2312" w:eastAsia="仿宋_GB2312"/>
              </w:rPr>
              <w:t>×</w:t>
            </w:r>
            <w:r>
              <w:rPr>
                <w:rFonts w:ascii="仿宋_GB2312" w:hAnsi="仿宋_GB2312" w:cs="仿宋_GB2312" w:eastAsia="仿宋_GB2312"/>
              </w:rPr>
              <w:t>2160p</w:t>
            </w:r>
            <w:r>
              <w:rPr>
                <w:rFonts w:ascii="仿宋_GB2312" w:hAnsi="仿宋_GB2312" w:cs="仿宋_GB2312" w:eastAsia="仿宋_GB2312"/>
              </w:rPr>
              <w:t>，</w:t>
            </w:r>
            <w:r>
              <w:rPr>
                <w:rFonts w:ascii="仿宋_GB2312" w:hAnsi="仿宋_GB2312" w:cs="仿宋_GB2312" w:eastAsia="仿宋_GB2312"/>
              </w:rPr>
              <w:t>25fps</w:t>
            </w:r>
            <w:r>
              <w:rPr>
                <w:rFonts w:ascii="仿宋_GB2312" w:hAnsi="仿宋_GB2312" w:cs="仿宋_GB2312" w:eastAsia="仿宋_GB2312"/>
              </w:rPr>
              <w:t>格式。拍摄素材分辨率</w:t>
            </w:r>
            <w:r>
              <w:rPr>
                <w:rFonts w:ascii="仿宋_GB2312" w:hAnsi="仿宋_GB2312" w:cs="仿宋_GB2312" w:eastAsia="仿宋_GB2312"/>
              </w:rPr>
              <w:t>4k 3840X2160</w:t>
            </w:r>
            <w:r>
              <w:rPr>
                <w:rFonts w:ascii="仿宋_GB2312" w:hAnsi="仿宋_GB2312" w:cs="仿宋_GB2312" w:eastAsia="仿宋_GB2312"/>
              </w:rPr>
              <w:t>，</w:t>
            </w:r>
            <w:r>
              <w:rPr>
                <w:rFonts w:ascii="仿宋_GB2312" w:hAnsi="仿宋_GB2312" w:cs="仿宋_GB2312" w:eastAsia="仿宋_GB2312"/>
              </w:rPr>
              <w:t xml:space="preserve">25fps;100Mbps 4:2:2 </w:t>
            </w:r>
            <w:r>
              <w:rPr>
                <w:rFonts w:ascii="仿宋_GB2312" w:hAnsi="仿宋_GB2312" w:cs="仿宋_GB2312" w:eastAsia="仿宋_GB2312"/>
              </w:rPr>
              <w:t>，成片标准</w:t>
            </w:r>
            <w:r>
              <w:rPr>
                <w:rFonts w:ascii="仿宋_GB2312" w:hAnsi="仿宋_GB2312" w:cs="仿宋_GB2312" w:eastAsia="仿宋_GB2312"/>
              </w:rPr>
              <w:t>:</w:t>
            </w:r>
            <w:r>
              <w:rPr>
                <w:rFonts w:ascii="仿宋_GB2312" w:hAnsi="仿宋_GB2312" w:cs="仿宋_GB2312" w:eastAsia="仿宋_GB2312"/>
              </w:rPr>
              <w:t xml:space="preserve">分辨率 </w:t>
            </w:r>
            <w:r>
              <w:rPr>
                <w:rFonts w:ascii="仿宋_GB2312" w:hAnsi="仿宋_GB2312" w:cs="仿宋_GB2312" w:eastAsia="仿宋_GB2312"/>
              </w:rPr>
              <w:t>1920</w:t>
            </w:r>
            <w:r>
              <w:rPr>
                <w:rFonts w:ascii="仿宋_GB2312" w:hAnsi="仿宋_GB2312" w:cs="仿宋_GB2312" w:eastAsia="仿宋_GB2312"/>
              </w:rPr>
              <w:t>×</w:t>
            </w:r>
            <w:r>
              <w:rPr>
                <w:rFonts w:ascii="仿宋_GB2312" w:hAnsi="仿宋_GB2312" w:cs="仿宋_GB2312" w:eastAsia="仿宋_GB2312"/>
              </w:rPr>
              <w:t>1080p</w:t>
            </w:r>
            <w:r>
              <w:rPr>
                <w:rFonts w:ascii="仿宋_GB2312" w:hAnsi="仿宋_GB2312" w:cs="仿宋_GB2312" w:eastAsia="仿宋_GB2312"/>
              </w:rPr>
              <w:t>，</w:t>
            </w:r>
            <w:r>
              <w:rPr>
                <w:rFonts w:ascii="仿宋_GB2312" w:hAnsi="仿宋_GB2312" w:cs="仿宋_GB2312" w:eastAsia="仿宋_GB2312"/>
              </w:rPr>
              <w:t>25fps;</w:t>
            </w:r>
            <w:r>
              <w:rPr>
                <w:rFonts w:ascii="仿宋_GB2312" w:hAnsi="仿宋_GB2312" w:cs="仿宋_GB2312" w:eastAsia="仿宋_GB2312"/>
              </w:rPr>
              <w:t>格式</w:t>
            </w:r>
            <w:r>
              <w:rPr>
                <w:rFonts w:ascii="仿宋_GB2312" w:hAnsi="仿宋_GB2312" w:cs="仿宋_GB2312" w:eastAsia="仿宋_GB2312"/>
              </w:rPr>
              <w:t>prores422 mov</w:t>
            </w:r>
            <w:r>
              <w:rPr>
                <w:rFonts w:ascii="仿宋_GB2312" w:hAnsi="仿宋_GB2312" w:cs="仿宋_GB2312" w:eastAsia="仿宋_GB2312"/>
              </w:rPr>
              <w:t>。运用电影手法进行拍摄，拍摄过程中注重画面构图、灯光造型及人员的表情动作，拍摄画面具备艺术美感。其他辅助拍摄器材为电动滑轨及专业脚架等辅助拍摄器材。</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 xml:space="preserve">创作总思路。拍摄做到：“主题事件化，事件故事化、故事人物化、人物细节化、细节画面化。”来突出体现西安职业技术学院在技能人才培养方面的特色，客观纪实，声画并茂，同期声的运用。  </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拍摄。要求采用固定机位、移动机位和航拍等多种手段，对学校有代表性建筑景观、教学场景、技能实操等进行系统拍摄，拍摄素材分辨率</w:t>
            </w:r>
            <w:r>
              <w:rPr>
                <w:rFonts w:ascii="仿宋_GB2312" w:hAnsi="仿宋_GB2312" w:cs="仿宋_GB2312" w:eastAsia="仿宋_GB2312"/>
              </w:rPr>
              <w:t>4k3840</w:t>
            </w:r>
            <w:r>
              <w:rPr>
                <w:rFonts w:ascii="仿宋_GB2312" w:hAnsi="仿宋_GB2312" w:cs="仿宋_GB2312" w:eastAsia="仿宋_GB2312"/>
              </w:rPr>
              <w:t>×</w:t>
            </w:r>
            <w:r>
              <w:rPr>
                <w:rFonts w:ascii="仿宋_GB2312" w:hAnsi="仿宋_GB2312" w:cs="仿宋_GB2312" w:eastAsia="仿宋_GB2312"/>
              </w:rPr>
              <w:t>2160</w:t>
            </w:r>
            <w:r>
              <w:rPr>
                <w:rFonts w:ascii="仿宋_GB2312" w:hAnsi="仿宋_GB2312" w:cs="仿宋_GB2312" w:eastAsia="仿宋_GB2312"/>
              </w:rPr>
              <w:t>。航拍手法运用灵活，拍摄画面平滑优美。拍摄画面要求稳定无抖动、曝光准</w:t>
            </w:r>
            <w:r>
              <w:rPr>
                <w:rFonts w:ascii="仿宋_GB2312" w:hAnsi="仿宋_GB2312" w:cs="仿宋_GB2312" w:eastAsia="仿宋_GB2312"/>
              </w:rPr>
              <w:t>确一致、天空细节完好，楼体无过曝，航拍画面突出纵深，突出空间感。</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灯光设备。要求专业级灯光设备要求影视灯光具有较高且可以精细调节的亮度，色温可调。要求影视灯光具有较高且可以精细调节的亮度，以及更宽广的色温可调区间。合理布置灯光加强画面立体感的塑造，通过不同的灯光运用方式对被摄体进行艺术性描绘，表现特定的艺术效果。</w:t>
            </w:r>
          </w:p>
          <w:p>
            <w:pPr>
              <w:pStyle w:val="null3"/>
              <w:ind w:firstLine="560"/>
              <w:jc w:val="both"/>
            </w:pPr>
            <w:r>
              <w:rPr>
                <w:rFonts w:ascii="仿宋_GB2312" w:hAnsi="仿宋_GB2312" w:cs="仿宋_GB2312" w:eastAsia="仿宋_GB2312"/>
              </w:rPr>
              <w:t>3.</w:t>
            </w:r>
            <w:r>
              <w:rPr>
                <w:rFonts w:ascii="仿宋_GB2312" w:hAnsi="仿宋_GB2312" w:cs="仿宋_GB2312" w:eastAsia="仿宋_GB2312"/>
              </w:rPr>
              <w:t>后期剪辑。采用非线性编辑系统，</w:t>
            </w:r>
            <w:r>
              <w:rPr>
                <w:rFonts w:ascii="仿宋_GB2312" w:hAnsi="仿宋_GB2312" w:cs="仿宋_GB2312" w:eastAsia="仿宋_GB2312"/>
              </w:rPr>
              <w:t>4k</w:t>
            </w:r>
            <w:r>
              <w:rPr>
                <w:rFonts w:ascii="仿宋_GB2312" w:hAnsi="仿宋_GB2312" w:cs="仿宋_GB2312" w:eastAsia="仿宋_GB2312"/>
              </w:rPr>
              <w:t>记录格式，输出格式为高效率高质量的后期剪辑采用非线性编辑系统，</w:t>
            </w:r>
            <w:r>
              <w:rPr>
                <w:rFonts w:ascii="仿宋_GB2312" w:hAnsi="仿宋_GB2312" w:cs="仿宋_GB2312" w:eastAsia="仿宋_GB2312"/>
              </w:rPr>
              <w:t>4k</w:t>
            </w:r>
            <w:r>
              <w:rPr>
                <w:rFonts w:ascii="仿宋_GB2312" w:hAnsi="仿宋_GB2312" w:cs="仿宋_GB2312" w:eastAsia="仿宋_GB2312"/>
              </w:rPr>
              <w:t>记录格式，输出格式为高效率，高质量的</w:t>
            </w:r>
            <w:r>
              <w:rPr>
                <w:rFonts w:ascii="仿宋_GB2312" w:hAnsi="仿宋_GB2312" w:cs="仿宋_GB2312" w:eastAsia="仿宋_GB2312"/>
              </w:rPr>
              <w:t>HD1920</w:t>
            </w:r>
            <w:r>
              <w:rPr>
                <w:rFonts w:ascii="仿宋_GB2312" w:hAnsi="仿宋_GB2312" w:cs="仿宋_GB2312" w:eastAsia="仿宋_GB2312"/>
              </w:rPr>
              <w:t>×</w:t>
            </w:r>
            <w:r>
              <w:rPr>
                <w:rFonts w:ascii="仿宋_GB2312" w:hAnsi="仿宋_GB2312" w:cs="仿宋_GB2312" w:eastAsia="仿宋_GB2312"/>
              </w:rPr>
              <w:t>1080p</w:t>
            </w:r>
            <w:r>
              <w:rPr>
                <w:rFonts w:ascii="仿宋_GB2312" w:hAnsi="仿宋_GB2312" w:cs="仿宋_GB2312" w:eastAsia="仿宋_GB2312"/>
              </w:rPr>
              <w:t xml:space="preserve">格式。有内置下拉变换器，实现 </w:t>
            </w:r>
            <w:r>
              <w:rPr>
                <w:rFonts w:ascii="仿宋_GB2312" w:hAnsi="仿宋_GB2312" w:cs="仿宋_GB2312" w:eastAsia="仿宋_GB2312"/>
              </w:rPr>
              <w:t xml:space="preserve">HD SDI </w:t>
            </w:r>
            <w:r>
              <w:rPr>
                <w:rFonts w:ascii="仿宋_GB2312" w:hAnsi="仿宋_GB2312" w:cs="仿宋_GB2312" w:eastAsia="仿宋_GB2312"/>
              </w:rPr>
              <w:t>标清信号输出</w:t>
            </w:r>
            <w:r>
              <w:rPr>
                <w:rFonts w:ascii="仿宋_GB2312" w:hAnsi="仿宋_GB2312" w:cs="仿宋_GB2312" w:eastAsia="仿宋_GB2312"/>
              </w:rPr>
              <w:t>,</w:t>
            </w:r>
            <w:r>
              <w:rPr>
                <w:rFonts w:ascii="仿宋_GB2312" w:hAnsi="仿宋_GB2312" w:cs="仿宋_GB2312" w:eastAsia="仿宋_GB2312"/>
              </w:rPr>
              <w:t xml:space="preserve">内置上拉变换器，实现 </w:t>
            </w:r>
            <w:r>
              <w:rPr>
                <w:rFonts w:ascii="仿宋_GB2312" w:hAnsi="仿宋_GB2312" w:cs="仿宋_GB2312" w:eastAsia="仿宋_GB2312"/>
              </w:rPr>
              <w:t xml:space="preserve">HD SDI </w:t>
            </w:r>
            <w:r>
              <w:rPr>
                <w:rFonts w:ascii="仿宋_GB2312" w:hAnsi="仿宋_GB2312" w:cs="仿宋_GB2312" w:eastAsia="仿宋_GB2312"/>
              </w:rPr>
              <w:t>高清信号输入。</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后期制作。后期调色，采用后期调色系统，对宣传片进行一二级调色，多点跟踪、模糊等调色流程。后期字幕广播级字幕系统。字幕系统采用字幕分屏式设计制作，播出简单直观。能够同屏实现人物名称、节目名称、对白唱词、等字幕功能。</w:t>
            </w:r>
          </w:p>
          <w:p>
            <w:pPr>
              <w:pStyle w:val="null3"/>
              <w:ind w:firstLine="560"/>
              <w:jc w:val="both"/>
            </w:pPr>
            <w:r>
              <w:rPr>
                <w:rFonts w:ascii="仿宋_GB2312" w:hAnsi="仿宋_GB2312" w:cs="仿宋_GB2312" w:eastAsia="仿宋_GB2312"/>
              </w:rPr>
              <w:t>三</w:t>
            </w:r>
            <w:r>
              <w:rPr>
                <w:rFonts w:ascii="仿宋_GB2312" w:hAnsi="仿宋_GB2312" w:cs="仿宋_GB2312" w:eastAsia="仿宋_GB2312"/>
              </w:rPr>
              <w:t>、服务要求</w:t>
            </w:r>
          </w:p>
          <w:p>
            <w:pPr>
              <w:pStyle w:val="null3"/>
              <w:ind w:firstLine="560"/>
              <w:jc w:val="both"/>
            </w:pPr>
            <w:r>
              <w:rPr>
                <w:rFonts w:ascii="仿宋_GB2312" w:hAnsi="仿宋_GB2312" w:cs="仿宋_GB2312" w:eastAsia="仿宋_GB2312"/>
              </w:rPr>
              <w:t>（一）服务节点要求</w:t>
            </w:r>
          </w:p>
          <w:p>
            <w:pPr>
              <w:pStyle w:val="null3"/>
              <w:ind w:firstLine="560"/>
              <w:jc w:val="both"/>
            </w:pPr>
            <w:r>
              <w:rPr>
                <w:rFonts w:ascii="仿宋_GB2312" w:hAnsi="仿宋_GB2312" w:cs="仿宋_GB2312" w:eastAsia="仿宋_GB2312"/>
              </w:rPr>
              <w:t>按照西安职业技术学院</w:t>
            </w:r>
            <w:r>
              <w:rPr>
                <w:rFonts w:ascii="仿宋_GB2312" w:hAnsi="仿宋_GB2312" w:cs="仿宋_GB2312" w:eastAsia="仿宋_GB2312"/>
              </w:rPr>
              <w:t>2025</w:t>
            </w:r>
            <w:r>
              <w:rPr>
                <w:rFonts w:ascii="仿宋_GB2312" w:hAnsi="仿宋_GB2312" w:cs="仿宋_GB2312" w:eastAsia="仿宋_GB2312"/>
              </w:rPr>
              <w:t>年度重点工作安排以及招生季时间节点，整体宣传工作计划分为“品牌打造期、招生引爆期、持续提升期”三个时间节点</w:t>
            </w:r>
            <w:r>
              <w:rPr>
                <w:rFonts w:ascii="仿宋_GB2312" w:hAnsi="仿宋_GB2312" w:cs="仿宋_GB2312" w:eastAsia="仿宋_GB2312"/>
              </w:rPr>
              <w:t>，</w:t>
            </w:r>
            <w:r>
              <w:rPr>
                <w:rFonts w:ascii="仿宋_GB2312" w:hAnsi="仿宋_GB2312" w:cs="仿宋_GB2312" w:eastAsia="仿宋_GB2312"/>
                <w:sz w:val="20"/>
              </w:rPr>
              <w:t>且最长不超过</w:t>
            </w:r>
            <w:r>
              <w:rPr>
                <w:rFonts w:ascii="仿宋_GB2312" w:hAnsi="仿宋_GB2312" w:cs="仿宋_GB2312" w:eastAsia="仿宋_GB2312"/>
                <w:sz w:val="20"/>
              </w:rPr>
              <w:t>365</w:t>
            </w:r>
            <w:r>
              <w:rPr>
                <w:rFonts w:ascii="仿宋_GB2312" w:hAnsi="仿宋_GB2312" w:cs="仿宋_GB2312" w:eastAsia="仿宋_GB2312"/>
                <w:sz w:val="20"/>
              </w:rPr>
              <w:t>个日历日</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品牌打造期</w:t>
            </w:r>
          </w:p>
          <w:p>
            <w:pPr>
              <w:pStyle w:val="null3"/>
              <w:ind w:firstLine="560"/>
              <w:jc w:val="both"/>
            </w:pPr>
            <w:r>
              <w:rPr>
                <w:rFonts w:ascii="仿宋_GB2312" w:hAnsi="仿宋_GB2312" w:cs="仿宋_GB2312" w:eastAsia="仿宋_GB2312"/>
              </w:rPr>
              <w:t>结合开学季、职教周等时间节点，通过户外形象展示、联动新媒体传播矩阵，塑造西职院品牌，为后续招生工作奠定基础。</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招生引爆期</w:t>
            </w:r>
          </w:p>
          <w:p>
            <w:pPr>
              <w:pStyle w:val="null3"/>
              <w:ind w:firstLine="560"/>
              <w:jc w:val="both"/>
            </w:pPr>
            <w:r>
              <w:rPr>
                <w:rFonts w:ascii="仿宋_GB2312" w:hAnsi="仿宋_GB2312" w:cs="仿宋_GB2312" w:eastAsia="仿宋_GB2312"/>
              </w:rPr>
              <w:t>以西职院招生宣传融媒体中心为宣传阵地，联动各级媒体、互联网、新媒体等融媒体资源，以西安地铁三号线、市内公交、市级媒体等宣传形式，进行深入报道，通过全媒体、立体化的宣传，助推西职院招生工作覆盖面更广、宣传力度更大、社会知名度更高，助推招生宣传工作稳步开展。</w:t>
            </w:r>
          </w:p>
          <w:p>
            <w:pPr>
              <w:pStyle w:val="null3"/>
              <w:ind w:firstLine="560"/>
              <w:jc w:val="both"/>
            </w:pPr>
            <w:r>
              <w:rPr>
                <w:rFonts w:ascii="仿宋_GB2312" w:hAnsi="仿宋_GB2312" w:cs="仿宋_GB2312" w:eastAsia="仿宋_GB2312"/>
              </w:rPr>
              <w:t>3.</w:t>
            </w:r>
            <w:r>
              <w:rPr>
                <w:rFonts w:ascii="仿宋_GB2312" w:hAnsi="仿宋_GB2312" w:cs="仿宋_GB2312" w:eastAsia="仿宋_GB2312"/>
              </w:rPr>
              <w:t>持续提升期</w:t>
            </w:r>
          </w:p>
          <w:p>
            <w:pPr>
              <w:pStyle w:val="null3"/>
              <w:ind w:firstLine="560"/>
              <w:jc w:val="both"/>
            </w:pPr>
            <w:r>
              <w:rPr>
                <w:rFonts w:ascii="仿宋_GB2312" w:hAnsi="仿宋_GB2312" w:cs="仿宋_GB2312" w:eastAsia="仿宋_GB2312"/>
              </w:rPr>
              <w:t>集中总结西职院宣传工作的成果和亮点，以及在职业教育改革中的贡献及影响力。梳理本年度西职院品牌形象的曝光度，持续提升西职院品牌影响力，进一步提升学院的社会地位。</w:t>
            </w:r>
          </w:p>
          <w:p>
            <w:pPr>
              <w:pStyle w:val="null3"/>
              <w:ind w:firstLine="560"/>
              <w:jc w:val="both"/>
            </w:pPr>
            <w:r>
              <w:rPr>
                <w:rFonts w:ascii="仿宋_GB2312" w:hAnsi="仿宋_GB2312" w:cs="仿宋_GB2312" w:eastAsia="仿宋_GB2312"/>
              </w:rPr>
              <w:t>（二）服务标准要求</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播出、投放、推送等均需完成服务内容要求的数量和各项技术指标的要求。</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短视频的拍摄制作要根据整体项目完成有创意、有内容、有步骤的策划文案。每个短视频均需有文字解说词、分镜头脚本及相应的分镜头执行脚本。后期剪辑制作采用非线性编辑系统，</w:t>
            </w:r>
            <w:r>
              <w:rPr>
                <w:rFonts w:ascii="仿宋_GB2312" w:hAnsi="仿宋_GB2312" w:cs="仿宋_GB2312" w:eastAsia="仿宋_GB2312"/>
              </w:rPr>
              <w:t xml:space="preserve">4K </w:t>
            </w:r>
            <w:r>
              <w:rPr>
                <w:rFonts w:ascii="仿宋_GB2312" w:hAnsi="仿宋_GB2312" w:cs="仿宋_GB2312" w:eastAsia="仿宋_GB2312"/>
              </w:rPr>
              <w:t xml:space="preserve">记录格式，输出格式为高效率、高质量的 </w:t>
            </w:r>
            <w:r>
              <w:rPr>
                <w:rFonts w:ascii="仿宋_GB2312" w:hAnsi="仿宋_GB2312" w:cs="仿宋_GB2312" w:eastAsia="仿宋_GB2312"/>
              </w:rPr>
              <w:t xml:space="preserve">HD 1920*1080 </w:t>
            </w:r>
            <w:r>
              <w:rPr>
                <w:rFonts w:ascii="仿宋_GB2312" w:hAnsi="仿宋_GB2312" w:cs="仿宋_GB2312" w:eastAsia="仿宋_GB2312"/>
              </w:rPr>
              <w:t>格式。有计划、有策略的进行投放，并保证视频的各项数据不低于同行标准，能确保整体项目整体内容平稳输出、正常拍摄及视频推广。建立项目高质量保证体系，对整体活动项目的策划、实施及宣传渠道推广等内容的保障措施。实现对拍摄全过程各因素的控制，建立从前期勘察、现场摄影直至提供成品服务的质量保证体系．为保证和提高宣传片质量而采用的一套科学管理方法。</w:t>
            </w:r>
          </w:p>
          <w:p>
            <w:pPr>
              <w:pStyle w:val="null3"/>
              <w:jc w:val="both"/>
            </w:pPr>
            <w:r>
              <w:rPr>
                <w:rFonts w:ascii="仿宋_GB2312" w:hAnsi="仿宋_GB2312" w:cs="仿宋_GB2312" w:eastAsia="仿宋_GB2312"/>
              </w:rPr>
              <w:t>五</w:t>
            </w:r>
            <w:r>
              <w:rPr>
                <w:rFonts w:ascii="仿宋_GB2312" w:hAnsi="仿宋_GB2312" w:cs="仿宋_GB2312" w:eastAsia="仿宋_GB2312"/>
              </w:rPr>
              <w:t>、其他</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）质量验收标准或规范</w:t>
            </w:r>
          </w:p>
          <w:p>
            <w:pPr>
              <w:pStyle w:val="null3"/>
              <w:ind w:firstLine="560"/>
              <w:jc w:val="both"/>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）产品质保期</w:t>
            </w:r>
          </w:p>
          <w:p>
            <w:pPr>
              <w:pStyle w:val="null3"/>
              <w:ind w:firstLine="560"/>
              <w:jc w:val="both"/>
            </w:pPr>
            <w:r>
              <w:rPr>
                <w:rFonts w:ascii="仿宋_GB2312" w:hAnsi="仿宋_GB2312" w:cs="仿宋_GB2312" w:eastAsia="仿宋_GB2312"/>
              </w:rPr>
              <w:t>质保期：三年</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）违约责任</w:t>
            </w:r>
          </w:p>
          <w:p>
            <w:pPr>
              <w:pStyle w:val="null3"/>
              <w:ind w:firstLine="560"/>
              <w:jc w:val="both"/>
            </w:pPr>
            <w:r>
              <w:rPr>
                <w:rFonts w:ascii="仿宋_GB2312" w:hAnsi="仿宋_GB2312" w:cs="仿宋_GB2312" w:eastAsia="仿宋_GB2312"/>
              </w:rPr>
              <w:t>依据《中华人民共和国民法典》等有关规定，结合具体实际，经甲乙双方友好协商。</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甲方的违约责任</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）如因甲方的原因未按本合同约定的项目进度要求完成工作内容，每延期</w:t>
            </w:r>
            <w:r>
              <w:rPr>
                <w:rFonts w:ascii="仿宋_GB2312" w:hAnsi="仿宋_GB2312" w:cs="仿宋_GB2312" w:eastAsia="仿宋_GB2312"/>
              </w:rPr>
              <w:t>1</w:t>
            </w:r>
            <w:r>
              <w:rPr>
                <w:rFonts w:ascii="仿宋_GB2312" w:hAnsi="仿宋_GB2312" w:cs="仿宋_GB2312" w:eastAsia="仿宋_GB2312"/>
              </w:rPr>
              <w:t>个工作日，允许乙方对等延期</w:t>
            </w:r>
            <w:r>
              <w:rPr>
                <w:rFonts w:ascii="仿宋_GB2312" w:hAnsi="仿宋_GB2312" w:cs="仿宋_GB2312" w:eastAsia="仿宋_GB2312"/>
              </w:rPr>
              <w:t xml:space="preserve">1 </w:t>
            </w:r>
            <w:r>
              <w:rPr>
                <w:rFonts w:ascii="仿宋_GB2312" w:hAnsi="仿宋_GB2312" w:cs="仿宋_GB2312" w:eastAsia="仿宋_GB2312"/>
              </w:rPr>
              <w:t>个工作日。</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）若未发生合同约定的解除事项，甲方解除合同的，乙方有权要求甲方按照乙方实际完成的工作量补偿其损失。</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）若甲方侵害了乙方知识产权，则应负责赔偿由此而给乙方造成的经济损失，并对连带的其他法律后果承担责任。甲方因此取得的全部收益归乙方所有。</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）因甲方未能履行合同中规定的保密条款，造成乙方损失的，应按照合同约定承担违约责任。</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乙方的违约责任</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）如因乙方的原因未按本合同规定的项目进度要求完成工作，每延期 </w:t>
            </w:r>
            <w:r>
              <w:rPr>
                <w:rFonts w:ascii="仿宋_GB2312" w:hAnsi="仿宋_GB2312" w:cs="仿宋_GB2312" w:eastAsia="仿宋_GB2312"/>
              </w:rPr>
              <w:t>1</w:t>
            </w:r>
            <w:r>
              <w:rPr>
                <w:rFonts w:ascii="仿宋_GB2312" w:hAnsi="仿宋_GB2312" w:cs="仿宋_GB2312" w:eastAsia="仿宋_GB2312"/>
              </w:rPr>
              <w:t>个工作日，由乙方按本合同总额的</w:t>
            </w:r>
            <w:r>
              <w:rPr>
                <w:rFonts w:ascii="仿宋_GB2312" w:hAnsi="仿宋_GB2312" w:cs="仿宋_GB2312" w:eastAsia="仿宋_GB2312"/>
              </w:rPr>
              <w:t>1</w:t>
            </w:r>
            <w:r>
              <w:rPr>
                <w:rFonts w:ascii="仿宋_GB2312" w:hAnsi="仿宋_GB2312" w:cs="仿宋_GB2312" w:eastAsia="仿宋_GB2312"/>
              </w:rPr>
              <w:t xml:space="preserve">‰向甲方支付违约金，甲方在支付款项时扣除。延期 </w:t>
            </w:r>
            <w:r>
              <w:rPr>
                <w:rFonts w:ascii="仿宋_GB2312" w:hAnsi="仿宋_GB2312" w:cs="仿宋_GB2312" w:eastAsia="仿宋_GB2312"/>
              </w:rPr>
              <w:t>60</w:t>
            </w:r>
            <w:r>
              <w:rPr>
                <w:rFonts w:ascii="仿宋_GB2312" w:hAnsi="仿宋_GB2312" w:cs="仿宋_GB2312" w:eastAsia="仿宋_GB2312"/>
              </w:rPr>
              <w:t>个工作日后，甲方有权解除合同，由此造成的损失由乙方承担。</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）由于乙方工作的错误或遗漏造成成果质量损失的，乙方应及时采取有效补救措施，则应负责赔偿由此而给甲方造成的经济损失，并对连带的其他法律后果承担责任。</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）若乙方侵害了甲方知识产权，则应负责赔偿由此而给甲方造成的经济损失，并对连带的其他法律后果承担责任，乙方因此取得的全部收益归甲方所有。</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）乙方不履行合同义务或履行合同义务不符合约定时，甲方有权拒绝支付尾款，有权要求乙方改正或补救，乙方拒不改正、补救达不到甲方要求的效果或累计</w:t>
            </w:r>
            <w:r>
              <w:rPr>
                <w:rFonts w:ascii="仿宋_GB2312" w:hAnsi="仿宋_GB2312" w:cs="仿宋_GB2312" w:eastAsia="仿宋_GB2312"/>
              </w:rPr>
              <w:t>3</w:t>
            </w:r>
            <w:r>
              <w:rPr>
                <w:rFonts w:ascii="仿宋_GB2312" w:hAnsi="仿宋_GB2312" w:cs="仿宋_GB2312" w:eastAsia="仿宋_GB2312"/>
              </w:rPr>
              <w:t>次（含本数）以上违约的，甲方有权解除合同，乙方应立即全额退还甲方所付款项，并支付合同总额</w:t>
            </w:r>
            <w:r>
              <w:rPr>
                <w:rFonts w:ascii="仿宋_GB2312" w:hAnsi="仿宋_GB2312" w:cs="仿宋_GB2312" w:eastAsia="仿宋_GB2312"/>
              </w:rPr>
              <w:t>20%</w:t>
            </w:r>
            <w:r>
              <w:rPr>
                <w:rFonts w:ascii="仿宋_GB2312" w:hAnsi="仿宋_GB2312" w:cs="仿宋_GB2312" w:eastAsia="仿宋_GB2312"/>
              </w:rPr>
              <w:t>的违约金并承担有关法律责任。</w:t>
            </w:r>
          </w:p>
          <w:p>
            <w:pPr>
              <w:pStyle w:val="null3"/>
              <w:ind w:firstLine="56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）因乙方未能履行合同中规定的保密条款，造成甲方损失的，应按照合同约定承担违约责任。</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自合同签订至本项目所有内容全部完成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款项结算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）支付方式：银行转账。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付款条件说明：</w:t>
            </w:r>
            <w:r>
              <w:rPr>
                <w:rFonts w:ascii="仿宋_GB2312" w:hAnsi="仿宋_GB2312" w:cs="仿宋_GB2312" w:eastAsia="仿宋_GB2312"/>
                <w:sz w:val="20"/>
              </w:rPr>
              <w:t>合同签订生效后支付预付款</w:t>
            </w:r>
            <w:r>
              <w:rPr>
                <w:rFonts w:ascii="仿宋_GB2312" w:hAnsi="仿宋_GB2312" w:cs="仿宋_GB2312" w:eastAsia="仿宋_GB2312"/>
                <w:sz w:val="20"/>
              </w:rPr>
              <w:t>，达到付款条件起</w:t>
            </w:r>
            <w:r>
              <w:rPr>
                <w:rFonts w:ascii="仿宋_GB2312" w:hAnsi="仿宋_GB2312" w:cs="仿宋_GB2312" w:eastAsia="仿宋_GB2312"/>
                <w:sz w:val="20"/>
              </w:rPr>
              <w:t xml:space="preserve">20 </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40.00%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验收合格后</w:t>
            </w:r>
            <w:r>
              <w:rPr>
                <w:rFonts w:ascii="仿宋_GB2312" w:hAnsi="仿宋_GB2312" w:cs="仿宋_GB2312" w:eastAsia="仿宋_GB2312"/>
                <w:sz w:val="20"/>
              </w:rPr>
              <w:t>，达到付款条件起</w:t>
            </w:r>
            <w:r>
              <w:rPr>
                <w:rFonts w:ascii="仿宋_GB2312" w:hAnsi="仿宋_GB2312" w:cs="仿宋_GB2312" w:eastAsia="仿宋_GB2312"/>
                <w:sz w:val="20"/>
              </w:rPr>
              <w:t>20</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60.00%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）结算方式：供应商持验收书，发票（按合同总价开采购人），成交通知书、服务合同，与采购人结算。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详见服务要求及磋商文件第六章 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详见服务要求及磋商文件第六章 磋商办法(评分标准)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自合同签订至本项目所有内容全部完成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供应商需在项目电子化交易系统中按要求填写《投标函》完成承诺并进行电子签章。1）具有独立承担民事责任的能力。提供注册登记凭证（营业执照、其他组织经营的合法凭证，自然人的提供身份证明文件）。 2）具有良好的商业信誉和健全的财务会计制度 提供经审计的2023年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7）法人代表授权书，授权人提交投标截止时间前12个月内任意1个月份在本单位缴纳社保证明材料。</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w:t>
            </w:r>
          </w:p>
        </w:tc>
        <w:tc>
          <w:tcPr>
            <w:tcW w:type="dxa" w:w="1661"/>
          </w:tcPr>
          <w:p>
            <w:pPr>
              <w:pStyle w:val="null3"/>
            </w:pPr>
            <w:r>
              <w:rPr>
                <w:rFonts w:ascii="仿宋_GB2312" w:hAnsi="仿宋_GB2312" w:cs="仿宋_GB2312" w:eastAsia="仿宋_GB2312"/>
              </w:rPr>
              <w:t>响应文件封面 技术商务部分.docx 服务内容及服务邀请应答表 商务应答表 标的清单 报价表 资格部分.docx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服务响应程度</w:t>
            </w:r>
          </w:p>
        </w:tc>
        <w:tc>
          <w:tcPr>
            <w:tcW w:type="dxa" w:w="2492"/>
          </w:tcPr>
          <w:p>
            <w:pPr>
              <w:pStyle w:val="null3"/>
            </w:pPr>
            <w:r>
              <w:rPr>
                <w:rFonts w:ascii="仿宋_GB2312" w:hAnsi="仿宋_GB2312" w:cs="仿宋_GB2312" w:eastAsia="仿宋_GB2312"/>
              </w:rPr>
              <w:t>根据供应商对外宣项目采购需求的响应程度综合评定赋分： 1.完全满足采购人实际需求，无缺漏项，计10～6分； 2.响应基本满足采购人实际需求，有细微漏项，计5.9～3分； 3.响应较差，有严重缺漏项，计0～2.9分。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供应商需提供整体详细、合理、可行的服务方案，包括但不限于项目（实施方案、播出、投放、推送等）：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根据供应商对本项目的建设背景、项目需求等进行理解及分析描述： 1、供应商需对项目的背景具有深刻的理解，对项目服务目标和服务内容进行完整、合理的阐述，根据响应情况得10～7分； 2、供应商对项目背景的理解基本准确到位，满足采购人基本服务要求，根据响应情况得6.9～3分； 3、供应商对于本项目的背景理解较差，不能完全满足采购人实际需求，根据响应情况得2.9～0分。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1.供应商结合本项目要求，配备策划团队具备相关项目经验，满足磋商文件要求且服务好、人员充足、专业能力强的服务人员，根据响应情况得10～7分； 2.供应商所配备相关服务团队基本满足本项目服务需求，相关人员素质较为一般，根据响应情况得6.9～3分； 3.供应商所配备相关人员素质较差，不能完全满足本项目实际需求，投入人员团队经验不够丰富,可能在服务期内出现响应不及时、工作不到位的情况，根据响应情况得2.9～0分。 （以上内容需提供术人员的学历证书，提供人员在本单位缴纳社保证明或相关合作证明。等证明材料）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针对本项目提供拟投入设备设施（包括但不限于活动实施所需要物料及设备），提供的设备专业性、齐全性打分根据响应情况得；设备专业齐全充足得5～3分；基本专业齐全的2.9～0分；未提供不得分；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采购需求及项目实际情况，能够提出有价值的合理化建议，且具体切实可行，有利于提升本项目整体服务质量。1.建议合理、切实可行，内容详尽、全面，得10～6分；2.建议较合理、可行，内容较详尽、全面，得5.9～3分；3.建议基本合理、可行，内容基本详尽、全面，得2.9～0。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可行性强得3～5分，方案详细、合理、可行性不尽合理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供应商针对本项目须确保项目能按时、按质完成，提供有利于采购人降低成本及提高服务质量且切实可行的措施承诺，方案具体可行得5 ～3分，方案基本可行得2.9～0分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2021年1月1日起至今，磋商响应人承接类似服务项目的业绩(业绩以合同复印件签订时间为准)，每提供一份有效业绩得2分，最多得10分。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