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版本号：MZ2025-DY101020250414001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进驻新中心器材采购（世界排球联赛器材采购）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MZ2025-DY1010</w:t>
      </w:r>
      <w:r>
        <w:br/>
      </w:r>
      <w:r>
        <w:br/>
      </w:r>
      <w:r>
        <w:br/>
      </w:r>
      <w:r>
        <w:br/>
      </w:r>
      <w:r>
        <w:br/>
      </w:r>
    </w:p>
    <w:p>
      <w:pPr>
        <w:pStyle w:val="null3"/>
        <w:jc w:val="center"/>
        <w:outlineLvl w:val="5"/>
      </w:pPr>
      <w:r>
        <w:rPr>
          <w:rFonts w:ascii="仿宋_GB2312" w:hAnsi="仿宋_GB2312" w:cs="仿宋_GB2312" w:eastAsia="仿宋_GB2312"/>
          <w:sz w:val="15"/>
          <w:b/>
        </w:rPr>
        <w:t>西安市篮球排球网球运动管理中心</w:t>
      </w:r>
    </w:p>
    <w:p>
      <w:pPr>
        <w:pStyle w:val="null3"/>
        <w:jc w:val="center"/>
        <w:outlineLvl w:val="5"/>
      </w:pPr>
      <w:r>
        <w:rPr>
          <w:rFonts w:ascii="仿宋_GB2312" w:hAnsi="仿宋_GB2312" w:cs="仿宋_GB2312" w:eastAsia="仿宋_GB2312"/>
          <w:sz w:val="15"/>
          <w:b/>
        </w:rPr>
        <w:t>陕西明正招标有限公司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西安市篮球排球网球运动管理中心</w:t>
      </w:r>
      <w:r>
        <w:rPr>
          <w:rFonts w:ascii="仿宋_GB2312" w:hAnsi="仿宋_GB2312" w:cs="仿宋_GB2312" w:eastAsia="仿宋_GB2312"/>
        </w:rPr>
        <w:t>委托，拟对</w:t>
      </w:r>
      <w:r>
        <w:rPr>
          <w:rFonts w:ascii="仿宋_GB2312" w:hAnsi="仿宋_GB2312" w:cs="仿宋_GB2312" w:eastAsia="仿宋_GB2312"/>
        </w:rPr>
        <w:t>进驻新中心器材采购（世界排球联赛器材采购）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MZ2025-DY1010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进驻新中心器材采购（世界排球联赛器材采购）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篮球排球网球运动管理中心进驻新中心器材采购（世界排球联赛器材采购）范围主要包括：排球场地Gerflor·Taraflex三色(浅樱桃木、橡木、蓝色)地板（2片（尺寸35*24平米/片））、赛诺(Senoh)网柱、垫子、45mm²网眼网和比赛场地裁判椅（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1、法定代表人身份证明/法定代表人授权书：法定代表人直接参加协商的，须出具法定代表人身份证明及法人身份证；法定代表人授权代表参加协商的，须出具法定代表人授权书及法人和授权代表身份证</w:t>
      </w:r>
    </w:p>
    <w:p>
      <w:pPr>
        <w:pStyle w:val="null3"/>
      </w:pPr>
      <w:r>
        <w:rPr>
          <w:rFonts w:ascii="仿宋_GB2312" w:hAnsi="仿宋_GB2312" w:cs="仿宋_GB2312" w:eastAsia="仿宋_GB2312"/>
        </w:rPr>
        <w:t>2、进口产品授权：供应商所投产品为进口产品的经销商，需提供产品制造厂家对所投进口产品的授权书，或具有授权权限的代理商对所投进口产品的授权书（代理商须显示设备制造厂家对所投产品授权链条的完整性），产品制造厂家直投不需要提供。</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协商当天的网站查询记录为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西安市篮球排球网球运动管理中心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西安市灞桥区港务西路与秦汉大道交叉口北900米路东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029-88060626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采购包1：1,118,000.00元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采购包1：1,118,000.00元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 2、成交单位的代理服务费交纳信息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西安市篮球排球网球运动管理中心</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西安市篮球排球网球运动管理中心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篮球排球网球运动管理中心进驻新中心器材采购（世界排球联赛器材采购）范围主要包括：排球场地Gerflor·Taraflex三色(浅樱桃木、橡木、蓝色)地板（2片（尺寸35*24平米/片））、赛诺(Senoh)网柱、垫子、45mm²网眼网和比赛场地裁判椅（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1,118,000.00</w:t>
      </w:r>
    </w:p>
    <w:p>
      <w:pPr>
        <w:pStyle w:val="null3"/>
      </w:pPr>
      <w:r>
        <w:rPr>
          <w:rFonts w:ascii="仿宋_GB2312" w:hAnsi="仿宋_GB2312" w:cs="仿宋_GB2312" w:eastAsia="仿宋_GB2312"/>
        </w:rPr>
        <w:t>采购包最高限价（元）: 1,118,000.00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进驻新中心器材采购（世界排球联赛器材采购）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标的名称：进驻新中心器材采购（世界排球联赛器材采购）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排球场地</w:t>
            </w:r>
            <w:r>
              <w:rPr>
                <w:rFonts w:ascii="仿宋_GB2312" w:hAnsi="仿宋_GB2312" w:cs="仿宋_GB2312" w:eastAsia="仿宋_GB2312"/>
                <w:sz w:val="21"/>
                <w:b/>
              </w:rPr>
              <w:t>GerflorTaraflex三色(浅樱桃木、橡木、蓝色)地板</w:t>
            </w:r>
            <w:r>
              <w:rPr>
                <w:rFonts w:ascii="仿宋_GB2312" w:hAnsi="仿宋_GB2312" w:cs="仿宋_GB2312" w:eastAsia="仿宋_GB2312"/>
                <w:sz w:val="21"/>
                <w:b/>
              </w:rPr>
              <w:t>（2</w:t>
            </w:r>
            <w:r>
              <w:rPr>
                <w:rFonts w:ascii="仿宋_GB2312" w:hAnsi="仿宋_GB2312" w:cs="仿宋_GB2312" w:eastAsia="仿宋_GB2312"/>
                <w:sz w:val="21"/>
                <w:b/>
              </w:rPr>
              <w:t>片（尺寸35*24平米/片））</w:t>
            </w:r>
          </w:p>
          <w:p>
            <w:pPr>
              <w:pStyle w:val="null3"/>
              <w:numPr>
                <w:ilvl w:val="0"/>
                <w:numId w:val="1"/>
              </w:numPr>
              <w:jc w:val="both"/>
            </w:pPr>
            <w:r>
              <w:rPr>
                <w:rFonts w:ascii="仿宋_GB2312" w:hAnsi="仿宋_GB2312" w:cs="仿宋_GB2312" w:eastAsia="仿宋_GB2312"/>
                <w:sz w:val="21"/>
                <w:b/>
              </w:rPr>
              <w:t>洁弗乐</w:t>
            </w:r>
            <w:r>
              <w:rPr>
                <w:rFonts w:ascii="仿宋_GB2312" w:hAnsi="仿宋_GB2312" w:cs="仿宋_GB2312" w:eastAsia="仿宋_GB2312"/>
                <w:sz w:val="21"/>
                <w:b/>
              </w:rPr>
              <w:t>7.5mm运动竞技7.5地板基本指标</w:t>
            </w:r>
            <w:r>
              <w:rPr>
                <w:rFonts w:ascii="仿宋_GB2312" w:hAnsi="仿宋_GB2312" w:cs="仿宋_GB2312" w:eastAsia="仿宋_GB2312"/>
                <w:sz w:val="21"/>
              </w:rPr>
              <w:t>：</w:t>
            </w:r>
          </w:p>
          <w:p>
            <w:pPr>
              <w:pStyle w:val="null3"/>
            </w:pPr>
            <w:r>
              <w:rPr>
                <w:rFonts w:ascii="仿宋_GB2312" w:hAnsi="仿宋_GB2312" w:cs="仿宋_GB2312" w:eastAsia="仿宋_GB2312"/>
                <w:sz w:val="21"/>
              </w:rPr>
              <w:t>表面：运动表面</w:t>
            </w:r>
          </w:p>
          <w:p>
            <w:pPr>
              <w:pStyle w:val="null3"/>
            </w:pPr>
            <w:r>
              <w:rPr>
                <w:rFonts w:ascii="仿宋_GB2312" w:hAnsi="仿宋_GB2312" w:cs="仿宋_GB2312" w:eastAsia="仿宋_GB2312"/>
                <w:sz w:val="21"/>
              </w:rPr>
              <w:t>厚度：</w:t>
            </w:r>
            <w:r>
              <w:rPr>
                <w:rFonts w:ascii="仿宋_GB2312" w:hAnsi="仿宋_GB2312" w:cs="仿宋_GB2312" w:eastAsia="仿宋_GB2312"/>
                <w:sz w:val="21"/>
              </w:rPr>
              <w:t>7.5毫米</w:t>
            </w:r>
          </w:p>
          <w:p>
            <w:pPr>
              <w:pStyle w:val="null3"/>
            </w:pPr>
            <w:r>
              <w:rPr>
                <w:rFonts w:ascii="仿宋_GB2312" w:hAnsi="仿宋_GB2312" w:cs="仿宋_GB2312" w:eastAsia="仿宋_GB2312"/>
                <w:sz w:val="21"/>
              </w:rPr>
              <w:t>地板材料成分：含</w:t>
            </w:r>
            <w:r>
              <w:rPr>
                <w:rFonts w:ascii="仿宋_GB2312" w:hAnsi="仿宋_GB2312" w:cs="仿宋_GB2312" w:eastAsia="仿宋_GB2312"/>
                <w:sz w:val="21"/>
                <w:b/>
              </w:rPr>
              <w:t>81%</w:t>
            </w:r>
            <w:r>
              <w:rPr>
                <w:rFonts w:ascii="仿宋_GB2312" w:hAnsi="仿宋_GB2312" w:cs="仿宋_GB2312" w:eastAsia="仿宋_GB2312"/>
                <w:sz w:val="21"/>
              </w:rPr>
              <w:t>的天然和回收成分，</w:t>
            </w:r>
            <w:r>
              <w:rPr>
                <w:rFonts w:ascii="仿宋_GB2312" w:hAnsi="仿宋_GB2312" w:cs="仿宋_GB2312" w:eastAsia="仿宋_GB2312"/>
                <w:sz w:val="21"/>
              </w:rPr>
              <w:t>100% 可回收，符合环保，可持续性发展要求</w:t>
            </w:r>
          </w:p>
          <w:p>
            <w:pPr>
              <w:pStyle w:val="null3"/>
            </w:pPr>
            <w:r>
              <w:rPr>
                <w:rFonts w:ascii="仿宋_GB2312" w:hAnsi="仿宋_GB2312" w:cs="仿宋_GB2312" w:eastAsia="仿宋_GB2312"/>
                <w:sz w:val="21"/>
              </w:rPr>
              <w:t>地板材料结构：玻璃纤维网结构，辊压工艺高强度耐磨面层</w:t>
            </w:r>
          </w:p>
          <w:p>
            <w:pPr>
              <w:pStyle w:val="null3"/>
            </w:pPr>
            <w:r>
              <w:rPr>
                <w:rFonts w:ascii="仿宋_GB2312" w:hAnsi="仿宋_GB2312" w:cs="仿宋_GB2312" w:eastAsia="仿宋_GB2312"/>
                <w:sz w:val="21"/>
              </w:rPr>
              <w:t>颜色：</w:t>
            </w:r>
            <w:r>
              <w:rPr>
                <w:rFonts w:ascii="仿宋_GB2312" w:hAnsi="仿宋_GB2312" w:cs="仿宋_GB2312" w:eastAsia="仿宋_GB2312"/>
                <w:sz w:val="21"/>
                <w:color w:val="000000"/>
              </w:rPr>
              <w:t>三色（浅樱桃、木橡、蓝色）</w:t>
            </w:r>
          </w:p>
          <w:p>
            <w:pPr>
              <w:pStyle w:val="null3"/>
              <w:numPr>
                <w:ilvl w:val="0"/>
                <w:numId w:val="1"/>
              </w:numPr>
              <w:jc w:val="both"/>
            </w:pPr>
            <w:r>
              <w:rPr>
                <w:rFonts w:ascii="仿宋_GB2312" w:hAnsi="仿宋_GB2312" w:cs="仿宋_GB2312" w:eastAsia="仿宋_GB2312"/>
                <w:sz w:val="21"/>
                <w:b/>
              </w:rPr>
              <w:t>洁弗乐</w:t>
            </w:r>
            <w:r>
              <w:rPr>
                <w:rFonts w:ascii="仿宋_GB2312" w:hAnsi="仿宋_GB2312" w:cs="仿宋_GB2312" w:eastAsia="仿宋_GB2312"/>
                <w:sz w:val="21"/>
                <w:b/>
              </w:rPr>
              <w:t>7.5运动地板技术指标：</w:t>
            </w:r>
          </w:p>
          <w:p>
            <w:pPr>
              <w:pStyle w:val="null3"/>
              <w:jc w:val="both"/>
            </w:pPr>
            <w:r>
              <w:rPr>
                <w:rFonts w:ascii="仿宋_GB2312" w:hAnsi="仿宋_GB2312" w:cs="仿宋_GB2312" w:eastAsia="仿宋_GB2312"/>
                <w:sz w:val="21"/>
              </w:rPr>
              <w:t>阻燃：</w:t>
            </w:r>
            <w:r>
              <w:rPr>
                <w:rFonts w:ascii="仿宋_GB2312" w:hAnsi="仿宋_GB2312" w:cs="仿宋_GB2312" w:eastAsia="仿宋_GB2312"/>
                <w:sz w:val="21"/>
              </w:rPr>
              <w:t>Ⅰ级</w:t>
            </w:r>
          </w:p>
          <w:p>
            <w:pPr>
              <w:pStyle w:val="null3"/>
              <w:jc w:val="both"/>
            </w:pPr>
            <w:r>
              <w:rPr>
                <w:rFonts w:ascii="仿宋_GB2312" w:hAnsi="仿宋_GB2312" w:cs="仿宋_GB2312" w:eastAsia="仿宋_GB2312"/>
                <w:sz w:val="21"/>
              </w:rPr>
              <w:t>震动吸收：</w:t>
            </w:r>
            <w:r>
              <w:rPr>
                <w:rFonts w:ascii="仿宋_GB2312" w:hAnsi="仿宋_GB2312" w:cs="仿宋_GB2312" w:eastAsia="仿宋_GB2312"/>
                <w:sz w:val="21"/>
              </w:rPr>
              <w:t>≥32%（EN 14808）</w:t>
            </w:r>
          </w:p>
          <w:p>
            <w:pPr>
              <w:pStyle w:val="null3"/>
              <w:jc w:val="both"/>
            </w:pPr>
            <w:r>
              <w:rPr>
                <w:rFonts w:ascii="仿宋_GB2312" w:hAnsi="仿宋_GB2312" w:cs="仿宋_GB2312" w:eastAsia="仿宋_GB2312"/>
                <w:sz w:val="21"/>
              </w:rPr>
              <w:t>垂直变形：</w:t>
            </w:r>
            <w:r>
              <w:rPr>
                <w:rFonts w:ascii="仿宋_GB2312" w:hAnsi="仿宋_GB2312" w:cs="仿宋_GB2312" w:eastAsia="仿宋_GB2312"/>
                <w:sz w:val="21"/>
              </w:rPr>
              <w:t>≤0.8mm (EN 14809)</w:t>
            </w:r>
          </w:p>
          <w:p>
            <w:pPr>
              <w:pStyle w:val="null3"/>
              <w:jc w:val="both"/>
            </w:pPr>
            <w:r>
              <w:rPr>
                <w:rFonts w:ascii="仿宋_GB2312" w:hAnsi="仿宋_GB2312" w:cs="仿宋_GB2312" w:eastAsia="仿宋_GB2312"/>
                <w:sz w:val="21"/>
              </w:rPr>
              <w:t>摩擦系数：</w:t>
            </w:r>
            <w:r>
              <w:rPr>
                <w:rFonts w:ascii="仿宋_GB2312" w:hAnsi="仿宋_GB2312" w:cs="仿宋_GB2312" w:eastAsia="仿宋_GB2312"/>
                <w:sz w:val="21"/>
              </w:rPr>
              <w:t>88-110（EN 13063-4）</w:t>
            </w:r>
          </w:p>
          <w:p>
            <w:pPr>
              <w:pStyle w:val="null3"/>
              <w:jc w:val="both"/>
            </w:pPr>
            <w:r>
              <w:rPr>
                <w:rFonts w:ascii="仿宋_GB2312" w:hAnsi="仿宋_GB2312" w:cs="仿宋_GB2312" w:eastAsia="仿宋_GB2312"/>
                <w:sz w:val="21"/>
              </w:rPr>
              <w:t>球反弹率：</w:t>
            </w:r>
            <w:r>
              <w:rPr>
                <w:rFonts w:ascii="仿宋_GB2312" w:hAnsi="仿宋_GB2312" w:cs="仿宋_GB2312" w:eastAsia="仿宋_GB2312"/>
                <w:sz w:val="21"/>
              </w:rPr>
              <w:t>≥90% （EN 12235）</w:t>
            </w:r>
          </w:p>
          <w:p>
            <w:pPr>
              <w:pStyle w:val="null3"/>
              <w:jc w:val="both"/>
            </w:pPr>
            <w:r>
              <w:rPr>
                <w:rFonts w:ascii="仿宋_GB2312" w:hAnsi="仿宋_GB2312" w:cs="仿宋_GB2312" w:eastAsia="仿宋_GB2312"/>
                <w:sz w:val="21"/>
              </w:rPr>
              <w:t>残余凹陷度：</w:t>
            </w:r>
            <w:r>
              <w:rPr>
                <w:rFonts w:ascii="仿宋_GB2312" w:hAnsi="仿宋_GB2312" w:cs="仿宋_GB2312" w:eastAsia="仿宋_GB2312"/>
                <w:sz w:val="21"/>
              </w:rPr>
              <w:t>≤0.29 mm (EN 1516)</w:t>
            </w:r>
          </w:p>
          <w:p>
            <w:pPr>
              <w:pStyle w:val="null3"/>
              <w:jc w:val="both"/>
            </w:pPr>
            <w:r>
              <w:rPr>
                <w:rFonts w:ascii="仿宋_GB2312" w:hAnsi="仿宋_GB2312" w:cs="仿宋_GB2312" w:eastAsia="仿宋_GB2312"/>
                <w:sz w:val="21"/>
              </w:rPr>
              <w:t>耐磨性能：</w:t>
            </w:r>
            <w:r>
              <w:rPr>
                <w:rFonts w:ascii="仿宋_GB2312" w:hAnsi="仿宋_GB2312" w:cs="仿宋_GB2312" w:eastAsia="仿宋_GB2312"/>
                <w:sz w:val="21"/>
              </w:rPr>
              <w:t>≤0.16g （EN ISO 5470-1）</w:t>
            </w:r>
          </w:p>
          <w:p>
            <w:pPr>
              <w:pStyle w:val="null3"/>
              <w:jc w:val="both"/>
            </w:pPr>
            <w:r>
              <w:rPr>
                <w:rFonts w:ascii="仿宋_GB2312" w:hAnsi="仿宋_GB2312" w:cs="仿宋_GB2312" w:eastAsia="仿宋_GB2312"/>
                <w:sz w:val="21"/>
              </w:rPr>
              <w:t>拉伸强度：</w:t>
            </w:r>
            <w:r>
              <w:rPr>
                <w:rFonts w:ascii="仿宋_GB2312" w:hAnsi="仿宋_GB2312" w:cs="仿宋_GB2312" w:eastAsia="仿宋_GB2312"/>
                <w:sz w:val="21"/>
              </w:rPr>
              <w:t>≥3.7 Mpa（GB/T14833）</w:t>
            </w:r>
          </w:p>
          <w:p>
            <w:pPr>
              <w:pStyle w:val="null3"/>
              <w:jc w:val="both"/>
            </w:pPr>
            <w:r>
              <w:rPr>
                <w:rFonts w:ascii="仿宋_GB2312" w:hAnsi="仿宋_GB2312" w:cs="仿宋_GB2312" w:eastAsia="仿宋_GB2312"/>
                <w:sz w:val="21"/>
              </w:rPr>
              <w:t>扯断伸长率：</w:t>
            </w:r>
            <w:r>
              <w:rPr>
                <w:rFonts w:ascii="仿宋_GB2312" w:hAnsi="仿宋_GB2312" w:cs="仿宋_GB2312" w:eastAsia="仿宋_GB2312"/>
                <w:sz w:val="21"/>
              </w:rPr>
              <w:t>≥110%（GB/T14833）</w:t>
            </w:r>
          </w:p>
          <w:p>
            <w:pPr>
              <w:pStyle w:val="null3"/>
              <w:jc w:val="both"/>
            </w:pPr>
            <w:r>
              <w:rPr>
                <w:rFonts w:ascii="仿宋_GB2312" w:hAnsi="仿宋_GB2312" w:cs="仿宋_GB2312" w:eastAsia="仿宋_GB2312"/>
                <w:sz w:val="21"/>
              </w:rPr>
              <w:t>防火等级：</w:t>
            </w:r>
            <w:r>
              <w:rPr>
                <w:rFonts w:ascii="仿宋_GB2312" w:hAnsi="仿宋_GB2312" w:cs="仿宋_GB2312" w:eastAsia="仿宋_GB2312"/>
                <w:sz w:val="21"/>
              </w:rPr>
              <w:t>B1</w:t>
            </w:r>
          </w:p>
          <w:p>
            <w:pPr>
              <w:pStyle w:val="null3"/>
              <w:jc w:val="both"/>
            </w:pPr>
            <w:r>
              <w:rPr>
                <w:rFonts w:ascii="仿宋_GB2312" w:hAnsi="仿宋_GB2312" w:cs="仿宋_GB2312" w:eastAsia="仿宋_GB2312"/>
                <w:sz w:val="21"/>
              </w:rPr>
              <w:t>有害物质限量：合格（</w:t>
            </w:r>
            <w:r>
              <w:rPr>
                <w:rFonts w:ascii="仿宋_GB2312" w:hAnsi="仿宋_GB2312" w:cs="仿宋_GB2312" w:eastAsia="仿宋_GB2312"/>
                <w:sz w:val="21"/>
              </w:rPr>
              <w:t>GB 18586-2001）</w:t>
            </w:r>
          </w:p>
          <w:p>
            <w:pPr>
              <w:pStyle w:val="null3"/>
              <w:jc w:val="both"/>
            </w:pPr>
            <w:r>
              <w:rPr>
                <w:rFonts w:ascii="仿宋_GB2312" w:hAnsi="仿宋_GB2312" w:cs="仿宋_GB2312" w:eastAsia="仿宋_GB2312"/>
                <w:sz w:val="21"/>
              </w:rPr>
              <w:t>耐污染性检测：合格（</w:t>
            </w:r>
            <w:r>
              <w:rPr>
                <w:rFonts w:ascii="仿宋_GB2312" w:hAnsi="仿宋_GB2312" w:cs="仿宋_GB2312" w:eastAsia="仿宋_GB2312"/>
                <w:sz w:val="21"/>
              </w:rPr>
              <w:t>EN 423:2002）</w:t>
            </w:r>
          </w:p>
          <w:p>
            <w:pPr>
              <w:pStyle w:val="null3"/>
              <w:jc w:val="both"/>
            </w:pPr>
            <w:r>
              <w:rPr>
                <w:rFonts w:ascii="仿宋_GB2312" w:hAnsi="仿宋_GB2312" w:cs="仿宋_GB2312" w:eastAsia="仿宋_GB2312"/>
                <w:sz w:val="21"/>
              </w:rPr>
              <w:t>通过</w:t>
            </w:r>
            <w:r>
              <w:rPr>
                <w:rFonts w:ascii="仿宋_GB2312" w:hAnsi="仿宋_GB2312" w:cs="仿宋_GB2312" w:eastAsia="仿宋_GB2312"/>
                <w:sz w:val="21"/>
              </w:rPr>
              <w:t>FLOORSCORE 室内空气质量认证体系</w:t>
            </w:r>
          </w:p>
          <w:p>
            <w:pPr>
              <w:pStyle w:val="null3"/>
            </w:pPr>
            <w:r>
              <w:rPr>
                <w:rFonts w:ascii="仿宋_GB2312" w:hAnsi="仿宋_GB2312" w:cs="仿宋_GB2312" w:eastAsia="仿宋_GB2312"/>
                <w:sz w:val="21"/>
                <w:b/>
              </w:rPr>
              <w:t>3.产品描述：</w:t>
            </w:r>
          </w:p>
          <w:p>
            <w:pPr>
              <w:pStyle w:val="null3"/>
            </w:pPr>
            <w:r>
              <w:rPr>
                <w:rFonts w:ascii="仿宋_GB2312" w:hAnsi="仿宋_GB2312" w:cs="仿宋_GB2312" w:eastAsia="仿宋_GB2312"/>
                <w:sz w:val="21"/>
              </w:rPr>
              <w:t>极高的振动吸收性能；</w:t>
            </w:r>
          </w:p>
          <w:p>
            <w:pPr>
              <w:pStyle w:val="null3"/>
            </w:pPr>
            <w:r>
              <w:rPr>
                <w:rFonts w:ascii="仿宋_GB2312" w:hAnsi="仿宋_GB2312" w:cs="仿宋_GB2312" w:eastAsia="仿宋_GB2312"/>
                <w:sz w:val="21"/>
              </w:rPr>
              <w:t>D-Max加强处理技术，玻璃纤维网格加强辊压结构工艺，产品尺寸稳定性强，耐磨性和恢复性能强；</w:t>
            </w:r>
          </w:p>
          <w:p>
            <w:pPr>
              <w:pStyle w:val="null3"/>
            </w:pPr>
            <w:r>
              <w:rPr>
                <w:rFonts w:ascii="仿宋_GB2312" w:hAnsi="仿宋_GB2312" w:cs="仿宋_GB2312" w:eastAsia="仿宋_GB2312"/>
                <w:sz w:val="21"/>
              </w:rPr>
              <w:t>运动表面使得运动既顺滑自如，又抓着力强；</w:t>
            </w:r>
          </w:p>
          <w:p>
            <w:pPr>
              <w:pStyle w:val="null3"/>
            </w:pPr>
            <w:r>
              <w:rPr>
                <w:rFonts w:ascii="仿宋_GB2312" w:hAnsi="仿宋_GB2312" w:cs="仿宋_GB2312" w:eastAsia="仿宋_GB2312"/>
                <w:sz w:val="21"/>
              </w:rPr>
              <w:t>三重功能的</w:t>
            </w:r>
            <w:r>
              <w:rPr>
                <w:rFonts w:ascii="仿宋_GB2312" w:hAnsi="仿宋_GB2312" w:cs="仿宋_GB2312" w:eastAsia="仿宋_GB2312"/>
                <w:sz w:val="21"/>
              </w:rPr>
              <w:t>Protecsol技术的表面处理，易于清洁维护；</w:t>
            </w:r>
          </w:p>
          <w:p>
            <w:pPr>
              <w:pStyle w:val="null3"/>
            </w:pPr>
            <w:r>
              <w:rPr>
                <w:rFonts w:ascii="仿宋_GB2312" w:hAnsi="仿宋_GB2312" w:cs="仿宋_GB2312" w:eastAsia="仿宋_GB2312"/>
                <w:sz w:val="21"/>
              </w:rPr>
              <w:t>CXP HD  蜂窝状泡沫结构+超高密度泡沫背层；</w:t>
            </w:r>
          </w:p>
          <w:p>
            <w:pPr>
              <w:pStyle w:val="null3"/>
            </w:pPr>
            <w:r>
              <w:rPr>
                <w:rFonts w:ascii="仿宋_GB2312" w:hAnsi="仿宋_GB2312" w:cs="仿宋_GB2312" w:eastAsia="仿宋_GB2312"/>
                <w:sz w:val="21"/>
              </w:rPr>
              <w:t>抗菌，抗病毒活性。</w:t>
            </w:r>
          </w:p>
          <w:p>
            <w:pPr>
              <w:pStyle w:val="null3"/>
              <w:jc w:val="both"/>
            </w:pPr>
            <w:r>
              <w:rPr>
                <w:rFonts w:ascii="仿宋_GB2312" w:hAnsi="仿宋_GB2312" w:cs="仿宋_GB2312" w:eastAsia="仿宋_GB2312"/>
                <w:sz w:val="21"/>
                <w:b/>
              </w:rPr>
              <w:t>4.环保指标：</w:t>
            </w:r>
          </w:p>
          <w:p>
            <w:pPr>
              <w:pStyle w:val="null3"/>
              <w:jc w:val="both"/>
            </w:pPr>
            <w:r>
              <w:rPr>
                <w:rFonts w:ascii="仿宋_GB2312" w:hAnsi="仿宋_GB2312" w:cs="仿宋_GB2312" w:eastAsia="仿宋_GB2312"/>
                <w:sz w:val="21"/>
              </w:rPr>
              <w:t>聚乙烯单体（</w:t>
            </w:r>
            <w:r>
              <w:rPr>
                <w:rFonts w:ascii="仿宋_GB2312" w:hAnsi="仿宋_GB2312" w:cs="仿宋_GB2312" w:eastAsia="仿宋_GB2312"/>
                <w:sz w:val="21"/>
              </w:rPr>
              <w:t>mg/kg）：未检出（标准≤5）</w:t>
            </w:r>
          </w:p>
          <w:p>
            <w:pPr>
              <w:pStyle w:val="null3"/>
              <w:jc w:val="both"/>
            </w:pPr>
            <w:r>
              <w:rPr>
                <w:rFonts w:ascii="仿宋_GB2312" w:hAnsi="仿宋_GB2312" w:cs="仿宋_GB2312" w:eastAsia="仿宋_GB2312"/>
                <w:sz w:val="21"/>
              </w:rPr>
              <w:t>可溶性重铅（</w:t>
            </w:r>
            <w:r>
              <w:rPr>
                <w:rFonts w:ascii="仿宋_GB2312" w:hAnsi="仿宋_GB2312" w:cs="仿宋_GB2312" w:eastAsia="仿宋_GB2312"/>
                <w:sz w:val="21"/>
              </w:rPr>
              <w:t>mg/m2）：未检出（标准≤20）</w:t>
            </w:r>
          </w:p>
          <w:p>
            <w:pPr>
              <w:pStyle w:val="null3"/>
              <w:jc w:val="both"/>
            </w:pPr>
            <w:r>
              <w:rPr>
                <w:rFonts w:ascii="仿宋_GB2312" w:hAnsi="仿宋_GB2312" w:cs="仿宋_GB2312" w:eastAsia="仿宋_GB2312"/>
                <w:sz w:val="21"/>
              </w:rPr>
              <w:t>可溶性重镉（</w:t>
            </w:r>
            <w:r>
              <w:rPr>
                <w:rFonts w:ascii="仿宋_GB2312" w:hAnsi="仿宋_GB2312" w:cs="仿宋_GB2312" w:eastAsia="仿宋_GB2312"/>
                <w:sz w:val="21"/>
              </w:rPr>
              <w:t>mg/m2）：未检出（标准≤20）</w:t>
            </w:r>
          </w:p>
          <w:p>
            <w:pPr>
              <w:pStyle w:val="null3"/>
              <w:jc w:val="both"/>
            </w:pPr>
            <w:r>
              <w:rPr>
                <w:rFonts w:ascii="仿宋_GB2312" w:hAnsi="仿宋_GB2312" w:cs="仿宋_GB2312" w:eastAsia="仿宋_GB2312"/>
                <w:sz w:val="21"/>
              </w:rPr>
              <w:t>挥发物（</w:t>
            </w:r>
            <w:r>
              <w:rPr>
                <w:rFonts w:ascii="仿宋_GB2312" w:hAnsi="仿宋_GB2312" w:cs="仿宋_GB2312" w:eastAsia="仿宋_GB2312"/>
                <w:sz w:val="21"/>
              </w:rPr>
              <w:t>g/m2）:3.2 (标准≤75)</w:t>
            </w:r>
          </w:p>
          <w:p>
            <w:pPr>
              <w:pStyle w:val="null3"/>
              <w:jc w:val="center"/>
            </w:pPr>
            <w:r>
              <w:rPr>
                <w:rFonts w:ascii="仿宋_GB2312" w:hAnsi="仿宋_GB2312" w:cs="仿宋_GB2312" w:eastAsia="仿宋_GB2312"/>
                <w:sz w:val="21"/>
                <w:b/>
              </w:rPr>
              <w:t>赛诺</w:t>
            </w:r>
            <w:r>
              <w:rPr>
                <w:rFonts w:ascii="仿宋_GB2312" w:hAnsi="仿宋_GB2312" w:cs="仿宋_GB2312" w:eastAsia="仿宋_GB2312"/>
                <w:sz w:val="21"/>
                <w:b/>
              </w:rPr>
              <w:t>(Senoh)网柱、垫子、45mm网眼网和比赛场地裁判椅</w:t>
            </w:r>
            <w:r>
              <w:rPr>
                <w:rFonts w:ascii="仿宋_GB2312" w:hAnsi="仿宋_GB2312" w:cs="仿宋_GB2312" w:eastAsia="仿宋_GB2312"/>
                <w:sz w:val="21"/>
                <w:b/>
              </w:rPr>
              <w:t>（</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color w:val="000000"/>
              </w:rPr>
              <w:t>网柱（</w:t>
            </w:r>
            <w:r>
              <w:rPr>
                <w:rFonts w:ascii="仿宋_GB2312" w:hAnsi="仿宋_GB2312" w:cs="仿宋_GB2312" w:eastAsia="仿宋_GB2312"/>
                <w:sz w:val="21"/>
                <w:b/>
                <w:color w:val="000000"/>
              </w:rPr>
              <w:t>直插式排球柱</w:t>
            </w:r>
            <w:r>
              <w:rPr>
                <w:rFonts w:ascii="仿宋_GB2312" w:hAnsi="仿宋_GB2312" w:cs="仿宋_GB2312" w:eastAsia="仿宋_GB2312"/>
                <w:sz w:val="21"/>
                <w:b/>
                <w:color w:val="000000"/>
              </w:rPr>
              <w:t>）</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color w:val="000000"/>
              </w:rPr>
              <w:t>1） 排球柱内外立柱选用高强度特种冷轧钢异型管材制作，最大拉网张力可达到250kg不变形（球网最大拉网张力为250kg）。</w:t>
            </w:r>
          </w:p>
          <w:p>
            <w:pPr>
              <w:pStyle w:val="null3"/>
              <w:jc w:val="both"/>
            </w:pPr>
            <w:r>
              <w:rPr>
                <w:rFonts w:ascii="仿宋_GB2312" w:hAnsi="仿宋_GB2312" w:cs="仿宋_GB2312" w:eastAsia="仿宋_GB2312"/>
                <w:sz w:val="21"/>
                <w:color w:val="000000"/>
              </w:rPr>
              <w:t>2）外立柱内置一对互成90度的斜齿轮，配合螺纹的螺杆升降机构，通过摇动升降手柄，使内立柱上下移动，实现网高调节高度：2150~2550mm。 外立柱中，一立柱内置有系绳钩，另一立柱内置有紧线锁紧机构，此机构是采用蜗轮蜗杆传动原理，具有结构紧凑，承载能里大，工作平稳，可以自锁（起到安全保护作用）等优点。通过调节锁紧手柄，可调节钢丝绳的松紧，确保钢丝绳牢固拉紧，并实现网的高度要求。球网被拉紧时，网柱能稳固地与地面保持垂直，立柱轴线对水平面的垂直公差≤1/500，且网柱各部位均不侵入场地内边线的垂直线内。</w:t>
            </w:r>
          </w:p>
          <w:p>
            <w:pPr>
              <w:pStyle w:val="null3"/>
              <w:jc w:val="both"/>
            </w:pPr>
            <w:r>
              <w:rPr>
                <w:rFonts w:ascii="仿宋_GB2312" w:hAnsi="仿宋_GB2312" w:cs="仿宋_GB2312" w:eastAsia="仿宋_GB2312"/>
                <w:sz w:val="21"/>
                <w:color w:val="000000"/>
              </w:rPr>
              <w:t>3）排球柱插入预埋件后在地面以下部分为300mm。外立柱底部设有特制缓冲垫，与预埋件相配时起缓冲作用，能有效延长预埋件及立柱的使用寿命。</w:t>
            </w:r>
          </w:p>
          <w:p>
            <w:pPr>
              <w:pStyle w:val="null3"/>
              <w:jc w:val="both"/>
            </w:pPr>
            <w:r>
              <w:rPr>
                <w:rFonts w:ascii="仿宋_GB2312" w:hAnsi="仿宋_GB2312" w:cs="仿宋_GB2312" w:eastAsia="仿宋_GB2312"/>
                <w:sz w:val="21"/>
                <w:color w:val="000000"/>
              </w:rPr>
              <w:t>4）排球柱外径φ76.3mm，管壁厚度5.2mm，重量：60kg/付；立柱面为红色烤漆。</w:t>
            </w:r>
          </w:p>
          <w:p>
            <w:pPr>
              <w:pStyle w:val="null3"/>
              <w:jc w:val="both"/>
            </w:pPr>
            <w:r>
              <w:rPr>
                <w:rFonts w:ascii="仿宋_GB2312" w:hAnsi="仿宋_GB2312" w:cs="仿宋_GB2312" w:eastAsia="仿宋_GB2312"/>
                <w:sz w:val="21"/>
                <w:b/>
                <w:color w:val="000000"/>
              </w:rPr>
              <w:t>垫子（</w:t>
            </w:r>
            <w:r>
              <w:rPr>
                <w:rFonts w:ascii="仿宋_GB2312" w:hAnsi="仿宋_GB2312" w:cs="仿宋_GB2312" w:eastAsia="仿宋_GB2312"/>
                <w:sz w:val="21"/>
                <w:b/>
                <w:color w:val="000000"/>
              </w:rPr>
              <w:t>排球柱保护套</w:t>
            </w:r>
            <w:r>
              <w:rPr>
                <w:rFonts w:ascii="仿宋_GB2312" w:hAnsi="仿宋_GB2312" w:cs="仿宋_GB2312" w:eastAsia="仿宋_GB2312"/>
                <w:sz w:val="21"/>
                <w:b/>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1）排球柱立柱配备有聚氨酯复合材料专用护套。能有效保护运动员免受撞击，能有效保证使用时的安全性及美观性。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保护套内部预留有现场摄像机电缆插入位置。</w:t>
            </w:r>
          </w:p>
          <w:p>
            <w:pPr>
              <w:pStyle w:val="null3"/>
              <w:numPr>
                <w:ilvl w:val="0"/>
                <w:numId w:val="1"/>
              </w:numPr>
            </w:pPr>
            <w:r>
              <w:rPr>
                <w:rFonts w:ascii="仿宋_GB2312" w:hAnsi="仿宋_GB2312" w:cs="仿宋_GB2312" w:eastAsia="仿宋_GB2312"/>
                <w:sz w:val="21"/>
              </w:rPr>
              <w:t>尺寸：</w:t>
            </w:r>
            <w:r>
              <w:rPr>
                <w:rFonts w:ascii="仿宋_GB2312" w:hAnsi="仿宋_GB2312" w:cs="仿宋_GB2312" w:eastAsia="仿宋_GB2312"/>
                <w:sz w:val="21"/>
              </w:rPr>
              <w:t>高</w:t>
            </w:r>
            <w:r>
              <w:rPr>
                <w:rFonts w:ascii="仿宋_GB2312" w:hAnsi="仿宋_GB2312" w:cs="仿宋_GB2312" w:eastAsia="仿宋_GB2312"/>
                <w:sz w:val="21"/>
              </w:rPr>
              <w:t>1850mm x 长230mm x 宽280mm， 重量：24kg/付。</w:t>
            </w:r>
          </w:p>
          <w:p>
            <w:pPr>
              <w:pStyle w:val="null3"/>
            </w:pPr>
            <w:r>
              <w:rPr>
                <w:rFonts w:ascii="仿宋_GB2312" w:hAnsi="仿宋_GB2312" w:cs="仿宋_GB2312" w:eastAsia="仿宋_GB2312"/>
                <w:sz w:val="21"/>
                <w:b/>
                <w:color w:val="000000"/>
              </w:rPr>
              <w:t>45mm网眼网(排球网 )</w:t>
            </w:r>
          </w:p>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锦纶</w:t>
            </w:r>
            <w:r>
              <w:rPr>
                <w:rFonts w:ascii="仿宋_GB2312" w:hAnsi="仿宋_GB2312" w:cs="仿宋_GB2312" w:eastAsia="仿宋_GB2312"/>
                <w:sz w:val="21"/>
                <w:color w:val="000000"/>
              </w:rPr>
              <w:t>PE，比赛型排球网。</w:t>
            </w:r>
          </w:p>
          <w:p>
            <w:pPr>
              <w:pStyle w:val="null3"/>
            </w:pPr>
            <w:r>
              <w:rPr>
                <w:rFonts w:ascii="仿宋_GB2312" w:hAnsi="仿宋_GB2312" w:cs="仿宋_GB2312" w:eastAsia="仿宋_GB2312"/>
                <w:sz w:val="21"/>
                <w:color w:val="000000"/>
              </w:rPr>
              <w:t>2）使用高强度ARMAMID缆线，其柔软性解决了使用钢丝缆线时的扭曲及松动问题，具有良好的安全性。</w:t>
            </w:r>
          </w:p>
          <w:p>
            <w:pPr>
              <w:pStyle w:val="null3"/>
              <w:numPr>
                <w:ilvl w:val="0"/>
                <w:numId w:val="1"/>
              </w:numPr>
            </w:pPr>
            <w:r>
              <w:rPr>
                <w:rFonts w:ascii="仿宋_GB2312" w:hAnsi="仿宋_GB2312" w:cs="仿宋_GB2312" w:eastAsia="仿宋_GB2312"/>
                <w:sz w:val="21"/>
                <w:color w:val="000000"/>
              </w:rPr>
              <w:t>排球网为</w:t>
            </w:r>
            <w:r>
              <w:rPr>
                <w:rFonts w:ascii="仿宋_GB2312" w:hAnsi="仿宋_GB2312" w:cs="仿宋_GB2312" w:eastAsia="仿宋_GB2312"/>
                <w:sz w:val="21"/>
                <w:color w:val="000000"/>
              </w:rPr>
              <w:t>90T/360支，网面由45mm见方的网孔组成，网顶70mm宽的水平白带，下部50mm水平白带。</w:t>
            </w:r>
          </w:p>
          <w:p>
            <w:pPr>
              <w:pStyle w:val="null3"/>
              <w:numPr>
                <w:ilvl w:val="0"/>
                <w:numId w:val="1"/>
              </w:numPr>
            </w:pPr>
            <w:r>
              <w:rPr>
                <w:rFonts w:ascii="仿宋_GB2312" w:hAnsi="仿宋_GB2312" w:cs="仿宋_GB2312" w:eastAsia="仿宋_GB2312"/>
                <w:sz w:val="21"/>
                <w:color w:val="000000"/>
              </w:rPr>
              <w:t>排球网自带标志带。</w:t>
            </w:r>
          </w:p>
          <w:p>
            <w:pPr>
              <w:pStyle w:val="null3"/>
              <w:jc w:val="both"/>
            </w:pPr>
            <w:r>
              <w:rPr>
                <w:rFonts w:ascii="仿宋_GB2312" w:hAnsi="仿宋_GB2312" w:cs="仿宋_GB2312" w:eastAsia="仿宋_GB2312"/>
                <w:sz w:val="21"/>
                <w:color w:val="000000"/>
              </w:rPr>
              <w:t>5）尺寸： 长950cm x 宽100cm，网孔4.5cm x 4.5cm，缆线1550cm 。</w:t>
            </w:r>
          </w:p>
          <w:p>
            <w:pPr>
              <w:pStyle w:val="null3"/>
              <w:jc w:val="both"/>
            </w:pPr>
            <w:r>
              <w:rPr>
                <w:rFonts w:ascii="仿宋_GB2312" w:hAnsi="仿宋_GB2312" w:cs="仿宋_GB2312" w:eastAsia="仿宋_GB2312"/>
                <w:sz w:val="21"/>
                <w:b/>
                <w:color w:val="000000"/>
              </w:rPr>
              <w:t>排球标志杆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1）用于比赛型排球网。</w:t>
            </w:r>
          </w:p>
          <w:p>
            <w:pPr>
              <w:pStyle w:val="null3"/>
              <w:jc w:val="both"/>
            </w:pPr>
            <w:r>
              <w:rPr>
                <w:rFonts w:ascii="仿宋_GB2312" w:hAnsi="仿宋_GB2312" w:cs="仿宋_GB2312" w:eastAsia="仿宋_GB2312"/>
                <w:sz w:val="21"/>
                <w:color w:val="000000"/>
              </w:rPr>
              <w:t>2）材质：玻璃钢纤维</w:t>
            </w:r>
          </w:p>
          <w:p>
            <w:pPr>
              <w:pStyle w:val="null3"/>
              <w:jc w:val="both"/>
            </w:pPr>
            <w:r>
              <w:rPr>
                <w:rFonts w:ascii="仿宋_GB2312" w:hAnsi="仿宋_GB2312" w:cs="仿宋_GB2312" w:eastAsia="仿宋_GB2312"/>
                <w:sz w:val="21"/>
                <w:color w:val="000000"/>
              </w:rPr>
              <w:t>3）尺寸：φ10 x1800mm， 1.2kg/付。</w:t>
            </w:r>
          </w:p>
          <w:p>
            <w:pPr>
              <w:pStyle w:val="null3"/>
              <w:jc w:val="both"/>
            </w:pPr>
            <w:r>
              <w:rPr>
                <w:rFonts w:ascii="仿宋_GB2312" w:hAnsi="仿宋_GB2312" w:cs="仿宋_GB2312" w:eastAsia="仿宋_GB2312"/>
                <w:sz w:val="21"/>
                <w:b/>
                <w:color w:val="000000"/>
              </w:rPr>
              <w:t>比赛场地裁判椅（</w:t>
            </w:r>
            <w:r>
              <w:rPr>
                <w:rFonts w:ascii="仿宋_GB2312" w:hAnsi="仿宋_GB2312" w:cs="仿宋_GB2312" w:eastAsia="仿宋_GB2312"/>
                <w:sz w:val="21"/>
                <w:b/>
                <w:color w:val="000000"/>
              </w:rPr>
              <w:t>可调式排球裁判椅</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1）裁判椅主要由底座、升降立柱、升降平台、座椅、栏杆、爬梯和保护套等组成。</w:t>
            </w:r>
          </w:p>
          <w:p>
            <w:pPr>
              <w:pStyle w:val="null3"/>
              <w:jc w:val="both"/>
            </w:pPr>
            <w:r>
              <w:rPr>
                <w:rFonts w:ascii="仿宋_GB2312" w:hAnsi="仿宋_GB2312" w:cs="仿宋_GB2312" w:eastAsia="仿宋_GB2312"/>
                <w:sz w:val="21"/>
                <w:color w:val="000000"/>
              </w:rPr>
              <w:t>2）裁判椅为重型钢架结构，底座采用方管和铁板拼焊组成，其后端设有两个走轮，移动方便。</w:t>
            </w:r>
          </w:p>
          <w:p>
            <w:pPr>
              <w:pStyle w:val="null3"/>
              <w:jc w:val="both"/>
            </w:pPr>
            <w:r>
              <w:rPr>
                <w:rFonts w:ascii="仿宋_GB2312" w:hAnsi="仿宋_GB2312" w:cs="仿宋_GB2312" w:eastAsia="仿宋_GB2312"/>
                <w:sz w:val="21"/>
                <w:color w:val="000000"/>
              </w:rPr>
              <w:t>3）裁判椅升降立柱由活动立柱和固定立柱，内部设有丝杠传动机构，配备专用手柄调节使活动立柱实现上下升降，从而带动座椅和平台上下升降。裁判椅升降平台基本尺寸：长×宽=750×600（mm），平台升降高度调节范围为1040mm - 1640mm,基本上解决了裁判员身高差异问题；平台表面铺防滑PVC胶板。</w:t>
            </w:r>
          </w:p>
          <w:p>
            <w:pPr>
              <w:pStyle w:val="null3"/>
              <w:jc w:val="both"/>
            </w:pPr>
            <w:r>
              <w:rPr>
                <w:rFonts w:ascii="仿宋_GB2312" w:hAnsi="仿宋_GB2312" w:cs="仿宋_GB2312" w:eastAsia="仿宋_GB2312"/>
                <w:sz w:val="21"/>
                <w:color w:val="000000"/>
              </w:rPr>
              <w:t>4）裁判椅座椅采用悬挂式翻板椅，不使用时可以折叠。</w:t>
            </w:r>
          </w:p>
          <w:p>
            <w:pPr>
              <w:pStyle w:val="null3"/>
              <w:jc w:val="both"/>
            </w:pPr>
            <w:r>
              <w:rPr>
                <w:rFonts w:ascii="仿宋_GB2312" w:hAnsi="仿宋_GB2312" w:cs="仿宋_GB2312" w:eastAsia="仿宋_GB2312"/>
                <w:sz w:val="21"/>
                <w:color w:val="000000"/>
              </w:rPr>
              <w:t>5）裁判椅栏杆采用圆管制作。前方设有裁判员防护栏及扶手，后侧设有爬梯，方便上下。</w:t>
            </w:r>
          </w:p>
          <w:p>
            <w:pPr>
              <w:pStyle w:val="null3"/>
              <w:jc w:val="both"/>
            </w:pPr>
            <w:r>
              <w:rPr>
                <w:rFonts w:ascii="仿宋_GB2312" w:hAnsi="仿宋_GB2312" w:cs="仿宋_GB2312" w:eastAsia="仿宋_GB2312"/>
                <w:sz w:val="21"/>
                <w:color w:val="000000"/>
              </w:rPr>
              <w:t>6）裁判椅的立柱面、平台下方等配有贴合式保护套，能够有效地保护运动员免受撞击。</w:t>
            </w:r>
          </w:p>
          <w:p>
            <w:pPr>
              <w:pStyle w:val="null3"/>
              <w:jc w:val="both"/>
            </w:pPr>
            <w:r>
              <w:rPr>
                <w:rFonts w:ascii="仿宋_GB2312" w:hAnsi="仿宋_GB2312" w:cs="仿宋_GB2312" w:eastAsia="仿宋_GB2312"/>
                <w:sz w:val="21"/>
                <w:color w:val="000000"/>
              </w:rPr>
              <w:t>7）满足国家级及国际赛事使用。</w:t>
            </w:r>
          </w:p>
          <w:p>
            <w:pPr>
              <w:pStyle w:val="null3"/>
              <w:jc w:val="both"/>
            </w:pPr>
            <w:r>
              <w:rPr>
                <w:rFonts w:ascii="仿宋_GB2312" w:hAnsi="仿宋_GB2312" w:cs="仿宋_GB2312" w:eastAsia="仿宋_GB2312"/>
                <w:sz w:val="21"/>
                <w:color w:val="000000"/>
              </w:rPr>
              <w:t>8）尺寸：高1850mm x 长1100mm x 宽970mm，重量：120kg。为红色漆面。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2025年5月25日之前完成交货，并交付采购人验收合格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交货并完成现场铺装后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验收完成且比赛结束后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场验收：成交供应商将设备器材运达采购人指定的库房后，采购人根据合同要求，在合同双方代表等相关负责人同时在场的情况下，进行外观验收，确认品牌型号和数量。（2）安装调试：在采购人施工管理员现场监督下，成交供应商负责组织到货设备器材安装、调试。（3）最终验收：设备器材全部安装调试完毕后，由成交供应商向采购人提交纸质版项目验收申请书，经采购人项目代表报有关领导确认后，组织成交供应商进行验收。验收合格后，填写项目验收单作为对本项目的最终认可。（4）验收依据：采购文件、响应文件、澄清表（函）；本合同及附件文本；合同签订时国家及行业现行的标准和技术规范。（5）成交供应商应向采购人提交项目实施过程中的所有资料，以便采购人日后管理和维护。（6）其余未尽事宜按照关于印发《政府采购需求管理办法》的通知（财库〔2021〕22号）和《财政部关于进一步加强政府采购需求和履约验收管理的指导意见》(财库〔2016〕205号)的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1.质保期为验收合格后不少于 1 年。成交供应商承诺的质保时间超过招标文件要求的，按其承诺时间质保。 2.成交供应商承诺的质保期起始时间为验收合格之日。 3.在使用过程中，成交供应商负责本项目所有维保服务，按照要求进行拆卸拼装重组等工作，对项目质量、使用质量及展览效果进行动态跟踪，积极响应采购人反映的质量和使用问题，不留安全和质量隐患。 4.在安装期间，成交供应商有必要对使用人员进行技术培训，以确保采购人能够有效处理相关问题。 5.成交供应商须提供该货物的技术培训、技术支持和维修巡检服务，服务内容包括负责安装调试完成后质保期内免费进行现场培训、理论培训、操作培训等。 6.成交供应商须对售后服务需求提供在工作日内1小时响应，2小时内通过远程、电话等方式解决问题，如无法解决，24小时内到达现场实施维修。72小时仍未排除故障、恢复正常运转的，由成交供应商提供同类型备品、备件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乙方所交付的货物不符本合同要求的（产生争议的以采购文件为准），甲方有权拒收；同时，乙方应缴纳该货物款30%的违约金，并可终止合同。（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3）乙方将货物设备运达指定地点后，甲方无正当理由不接收或不及时验收的，双方友好协商解决，协商不成，乙方有权向甲方所在地的人民法院提出诉讼。（4）乙方不按合同规定履行售后服务的，双方友好协商解决，协商不成，以书面形式向甲方所在地人是法院提出诉讼。（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6）甲、乙双方在履行合同发生争议时，应通过友好协商的方式解决；若争议协商未果，则双方将争议提交甲方所在地仲裁机构裁决。仲裁机构由甲乙双方协议选择。2、其他未尽事宜按《中华人民共和国政府采购法》、《中华人民共和国民法典》中的相关条款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（2）财务状况报告：提供经审计的2023或2024年度财务报告或协商前六个月内其本公司银行账户出具的资信证明或政府采购专业担保机构出具的协商担保函（事业单位可不提供）（加盖公章）； （3）税收缴纳证明：供应商提供截止至协商时间前六个月任一月份的缴费凭据；依法免税的应提供相关文件证明（加盖公章）； （4）社会保障资金缴纳证明：供应商提供截止至协商时间前六个月任一月份的缴费凭据或社保机构开具的社会保险参保缴费情况证明；依法不需要缴纳社会保障资金的应提供相关文件证明（加盖公章）；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法定代表人直接参加协商的，须出具法定代表人身份证明及法人身份证；法定代表人授权代表参加协商的，须出具法定代表人授权书及法人和授权代表身份证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供应商所投产品为进口产品的经销商，需提供产品制造厂家对所投进口产品的授权书，或具有授权权限的代理商对所投进口产品的授权书（代理商须显示设备制造厂家对所投产品授权链条的完整性），产品制造厂家直投不需要提供。</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协商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完全响应采购文件要求的各项技术/服务/商务实质性条款，按照采购文件要求上传协商响应文件，未出现实质性内容的缺漏项</w:t>
            </w:r>
          </w:p>
        </w:tc>
        <w:tc>
          <w:tcPr>
            <w:tcW w:type="dxa" w:w="1661"/>
          </w:tcPr>
          <w:p>
            <w:pPr>
              <w:pStyle w:val="null3"/>
            </w:pPr>
            <w:r>
              <w:rPr>
                <w:rFonts w:ascii="仿宋_GB2312" w:hAnsi="仿宋_GB2312" w:cs="仿宋_GB2312" w:eastAsia="仿宋_GB2312"/>
              </w:rPr>
              <w:t>响应方案说明.docx 中小企业声明函 一般资格要求.docx 报价表 采购技术要求响应偏离表.docx 响应文件封面 分项报价表.docx 特殊资格要求.docx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 一般资格要求.docx 报价表 响应文件封面 采购技术要求响应偏离表.docx 分项报价表.docx 特殊资格要求.docx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同时满足以下条款： （1）协商报价符合唯一性要求； （2）协商报价未超出采购预算和最高限价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响应方案说明.docx 中小企业声明函 一般资格要求.docx 报价表 采购技术要求响应偏离表.docx 响应文件封面 分项报价表.docx 特殊资格要求.docx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符合协商文件要求</w:t>
            </w:r>
          </w:p>
        </w:tc>
        <w:tc>
          <w:tcPr>
            <w:tcW w:type="dxa" w:w="1661"/>
          </w:tcPr>
          <w:p>
            <w:pPr>
              <w:pStyle w:val="null3"/>
            </w:pPr>
            <w:r>
              <w:rPr>
                <w:rFonts w:ascii="仿宋_GB2312" w:hAnsi="仿宋_GB2312" w:cs="仿宋_GB2312" w:eastAsia="仿宋_GB2312"/>
              </w:rPr>
              <w:t>特殊资格要求.docx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