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版本号：ZHPM-ZC-2563120250415001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西安市莲湖区人民法院枣园人民法庭业务用房租赁项目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ZHPM-ZC-25631</w:t>
      </w:r>
      <w:r>
        <w:br/>
      </w:r>
      <w:r>
        <w:br/>
      </w:r>
      <w:r>
        <w:br/>
      </w:r>
    </w:p>
    <w:p>
      <w:pPr>
        <w:pStyle w:val="null3"/>
        <w:jc w:val="center"/>
        <w:outlineLvl w:val="5"/>
      </w:pPr>
      <w:r>
        <w:rPr>
          <w:rFonts w:ascii="仿宋_GB2312" w:hAnsi="仿宋_GB2312" w:cs="仿宋_GB2312" w:eastAsia="仿宋_GB2312"/>
          <w:sz w:val="15"/>
          <w:b/>
        </w:rPr>
        <w:t>西安市莲湖区人民法院[155]</w:t>
      </w:r>
    </w:p>
    <w:p>
      <w:pPr>
        <w:pStyle w:val="null3"/>
        <w:jc w:val="center"/>
        <w:outlineLvl w:val="5"/>
      </w:pPr>
      <w:r>
        <w:rPr>
          <w:rFonts w:ascii="仿宋_GB2312" w:hAnsi="仿宋_GB2312" w:cs="仿宋_GB2312" w:eastAsia="仿宋_GB2312"/>
          <w:sz w:val="15"/>
          <w:b/>
        </w:rPr>
        <w:t>中昊项目管理有限公司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2025年04月15日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中昊项目管理有限公司</w:t>
      </w:r>
      <w:r>
        <w:rPr>
          <w:rFonts w:ascii="仿宋_GB2312" w:hAnsi="仿宋_GB2312" w:cs="仿宋_GB2312" w:eastAsia="仿宋_GB2312"/>
        </w:rPr>
        <w:t>（以下简称“代理机构”）受</w:t>
      </w:r>
      <w:r>
        <w:rPr>
          <w:rFonts w:ascii="仿宋_GB2312" w:hAnsi="仿宋_GB2312" w:cs="仿宋_GB2312" w:eastAsia="仿宋_GB2312"/>
        </w:rPr>
        <w:t>西安市莲湖区人民法院[155]</w:t>
      </w:r>
      <w:r>
        <w:rPr>
          <w:rFonts w:ascii="仿宋_GB2312" w:hAnsi="仿宋_GB2312" w:cs="仿宋_GB2312" w:eastAsia="仿宋_GB2312"/>
        </w:rPr>
        <w:t>委托，拟对</w:t>
      </w:r>
      <w:r>
        <w:rPr>
          <w:rFonts w:ascii="仿宋_GB2312" w:hAnsi="仿宋_GB2312" w:cs="仿宋_GB2312" w:eastAsia="仿宋_GB2312"/>
        </w:rPr>
        <w:t>西安市莲湖区人民法院枣园人民法庭业务用房租赁项目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ZHPM-ZC-25631</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西安市莲湖区人民法院枣园人民法庭业务用房租赁项目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莲湖法院按照审判工作业务需求，设置枣园人民法庭。因莲湖法院在枣园辖区无自有业务用房，为满足莲湖法院枣园人民法庭开展审判工作的需求，特进行业务用房租赁。</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采购包1（枣园人民法庭业务用房租赁项目）：属于专门面向中小企业采购。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1、法定代表人身份证明或法定代表人授权书：1）法定代表人直接参加投标，须提供法定代表人身份证明及身份证复印件 2）授权代表参与投标，须提供法定代表人授权书（附法定代表人、被授权人身份证复印件）及被授权人身份证复印件；</w:t>
      </w:r>
    </w:p>
    <w:p>
      <w:pPr>
        <w:pStyle w:val="null3"/>
      </w:pPr>
      <w:r>
        <w:rPr>
          <w:rFonts w:ascii="仿宋_GB2312" w:hAnsi="仿宋_GB2312" w:cs="仿宋_GB2312" w:eastAsia="仿宋_GB2312"/>
        </w:rPr>
        <w:t>2、信用要求：供应商不得为“信用中国”网站(http://www.creditchina.gov.cn)列入“失信被执行人或重大税收违法失信主体或政府采购严重违法失信行为记录名单”的供应商；不得为中国政府采购网(http://www.ccgp.gov.cn)“政府采购严重违法失信行为记录名单”中的供应商。</w:t>
      </w:r>
    </w:p>
    <w:p>
      <w:pPr>
        <w:pStyle w:val="null3"/>
      </w:pPr>
      <w:r>
        <w:rPr>
          <w:rFonts w:ascii="仿宋_GB2312" w:hAnsi="仿宋_GB2312" w:cs="仿宋_GB2312" w:eastAsia="仿宋_GB2312"/>
        </w:rPr>
        <w:t>3、不接受联合体谈判：本项目不接受联合体谈判。</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西安市莲湖区人民法院[155]</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西安市莲湖区西大街柴家什字88号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029-87619243</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中昊项目管理有限公司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西安市高新区丈八街办团结南路35号高新新天地2号楼24层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杨小倩、刘小会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029-87303582</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采购包1：320,000.00元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采购包1：320,000.00元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 1、中标单位在领取中标通知书前，须向采购代理机构一次性支付代理服务费。 2、招标代理服务费：以中标金额为基数，参照国家计委颁发的《招标代理服务收费管理暂行办法》(计价格[2002]1980号)和国家发展改革委员会办公厅颁发的《关于招标代理服务收费有关问题的通知》(发改办价格[2003]857号)的有关规定执行。 开户名称：中昊项目管理有限公司 开户银行：中国民生银行股份有限公司西安枫林绿洲支行 账号:160927203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西安市莲湖区人民法院[155]</w:t>
      </w:r>
      <w:r>
        <w:rPr>
          <w:rFonts w:ascii="仿宋_GB2312" w:hAnsi="仿宋_GB2312" w:cs="仿宋_GB2312" w:eastAsia="仿宋_GB2312"/>
        </w:rPr>
        <w:t>和</w:t>
      </w:r>
      <w:r>
        <w:rPr>
          <w:rFonts w:ascii="仿宋_GB2312" w:hAnsi="仿宋_GB2312" w:cs="仿宋_GB2312" w:eastAsia="仿宋_GB2312"/>
        </w:rPr>
        <w:t>中昊项目管理有限公司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中昊项目管理有限公司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西安市莲湖区人民法院[155]</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中昊项目管理有限公司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中昊项目管理有限公司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中昊项目管理有限公司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中昊项目管理有限公司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莲湖法院按照审判工作业务需求，设置枣园人民法庭。因莲湖法院在枣园辖区无自有业务用房，为满足莲湖法院枣园人民法庭开展审判工作的需求，特进行业务用房租赁。</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320,000.00</w:t>
      </w:r>
    </w:p>
    <w:p>
      <w:pPr>
        <w:pStyle w:val="null3"/>
      </w:pPr>
      <w:r>
        <w:rPr>
          <w:rFonts w:ascii="仿宋_GB2312" w:hAnsi="仿宋_GB2312" w:cs="仿宋_GB2312" w:eastAsia="仿宋_GB2312"/>
        </w:rPr>
        <w:t>采购包最高限价（元）: 320,000.00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320000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标的名称：320000</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ind w:firstLine="482"/>
              <w:jc w:val="both"/>
            </w:pPr>
            <w:r>
              <w:rPr>
                <w:rFonts w:ascii="仿宋_GB2312" w:hAnsi="仿宋_GB2312" w:cs="仿宋_GB2312" w:eastAsia="仿宋_GB2312"/>
                <w:sz w:val="24"/>
                <w:b/>
              </w:rPr>
              <w:t>一、项目概况</w:t>
            </w:r>
          </w:p>
          <w:p>
            <w:pPr>
              <w:pStyle w:val="null3"/>
              <w:ind w:left="480"/>
              <w:jc w:val="both"/>
            </w:pPr>
            <w:r>
              <w:rPr>
                <w:rFonts w:ascii="仿宋_GB2312" w:hAnsi="仿宋_GB2312" w:cs="仿宋_GB2312" w:eastAsia="仿宋_GB2312"/>
                <w:sz w:val="24"/>
              </w:rPr>
              <w:t>莲湖法院按照审判工作业务需求，设置枣园人民法庭。因莲湖法院在枣园辖区无自有业务用房，为满足莲湖法院枣园人民法庭开展审判工作的需求，特进行业务用房租赁。</w:t>
            </w:r>
          </w:p>
          <w:p>
            <w:pPr>
              <w:pStyle w:val="null3"/>
              <w:ind w:firstLine="482"/>
              <w:jc w:val="both"/>
            </w:pPr>
            <w:r>
              <w:rPr>
                <w:rFonts w:ascii="仿宋_GB2312" w:hAnsi="仿宋_GB2312" w:cs="仿宋_GB2312" w:eastAsia="仿宋_GB2312"/>
                <w:sz w:val="24"/>
                <w:b/>
              </w:rPr>
              <w:t>二、商务要求</w:t>
            </w:r>
          </w:p>
          <w:p>
            <w:pPr>
              <w:pStyle w:val="null3"/>
              <w:ind w:firstLine="480"/>
              <w:jc w:val="both"/>
            </w:pPr>
            <w:r>
              <w:rPr>
                <w:rFonts w:ascii="仿宋_GB2312" w:hAnsi="仿宋_GB2312" w:cs="仿宋_GB2312" w:eastAsia="仿宋_GB2312"/>
                <w:sz w:val="24"/>
              </w:rPr>
              <w:t>1.服务期限：一年。</w:t>
            </w:r>
          </w:p>
          <w:p>
            <w:pPr>
              <w:pStyle w:val="null3"/>
              <w:ind w:firstLine="480"/>
              <w:jc w:val="both"/>
            </w:pPr>
            <w:r>
              <w:rPr>
                <w:rFonts w:ascii="仿宋_GB2312" w:hAnsi="仿宋_GB2312" w:cs="仿宋_GB2312" w:eastAsia="仿宋_GB2312"/>
                <w:sz w:val="24"/>
              </w:rPr>
              <w:t>2.服务地点：采购人指定地点。</w:t>
            </w:r>
          </w:p>
          <w:p>
            <w:pPr>
              <w:pStyle w:val="null3"/>
              <w:ind w:firstLine="480"/>
              <w:jc w:val="both"/>
            </w:pPr>
            <w:r>
              <w:rPr>
                <w:rFonts w:ascii="仿宋_GB2312" w:hAnsi="仿宋_GB2312" w:cs="仿宋_GB2312" w:eastAsia="仿宋_GB2312"/>
                <w:sz w:val="24"/>
              </w:rPr>
              <w:t>3.结算方式：银行转账。</w:t>
            </w:r>
          </w:p>
          <w:p>
            <w:pPr>
              <w:pStyle w:val="null3"/>
              <w:ind w:firstLine="482"/>
              <w:jc w:val="both"/>
            </w:pPr>
            <w:r>
              <w:rPr>
                <w:rFonts w:ascii="仿宋_GB2312" w:hAnsi="仿宋_GB2312" w:cs="仿宋_GB2312" w:eastAsia="仿宋_GB2312"/>
                <w:sz w:val="24"/>
                <w:b/>
              </w:rPr>
              <w:t>三、采购需求及技术参数</w:t>
            </w:r>
          </w:p>
          <w:p>
            <w:pPr>
              <w:pStyle w:val="null3"/>
              <w:ind w:firstLine="480"/>
              <w:jc w:val="both"/>
            </w:pPr>
            <w:r>
              <w:rPr>
                <w:rFonts w:ascii="仿宋_GB2312" w:hAnsi="仿宋_GB2312" w:cs="仿宋_GB2312" w:eastAsia="仿宋_GB2312"/>
                <w:sz w:val="24"/>
              </w:rPr>
              <w:t>1.投标前保证租赁房屋没有产权纠纷。</w:t>
            </w:r>
          </w:p>
          <w:p>
            <w:pPr>
              <w:pStyle w:val="null3"/>
              <w:ind w:left="720"/>
              <w:jc w:val="both"/>
            </w:pPr>
            <w:r>
              <w:rPr>
                <w:rFonts w:ascii="仿宋_GB2312" w:hAnsi="仿宋_GB2312" w:cs="仿宋_GB2312" w:eastAsia="仿宋_GB2312"/>
                <w:sz w:val="24"/>
              </w:rPr>
              <w:t>2.收到成交确认书后，承诺7个工作日内清理租赁房屋内堆积物，能按照约定将租赁房屋交付采购单位。</w:t>
            </w:r>
          </w:p>
          <w:p>
            <w:pPr>
              <w:pStyle w:val="null3"/>
              <w:ind w:firstLine="480"/>
              <w:jc w:val="both"/>
            </w:pPr>
            <w:r>
              <w:rPr>
                <w:rFonts w:ascii="仿宋_GB2312" w:hAnsi="仿宋_GB2312" w:cs="仿宋_GB2312" w:eastAsia="仿宋_GB2312"/>
                <w:sz w:val="24"/>
              </w:rPr>
              <w:t>3.出租方须提供房屋产权的相关证明材料。</w:t>
            </w:r>
          </w:p>
          <w:p>
            <w:pPr>
              <w:pStyle w:val="null3"/>
              <w:ind w:firstLine="480"/>
              <w:jc w:val="both"/>
            </w:pPr>
            <w:r>
              <w:rPr>
                <w:rFonts w:ascii="仿宋_GB2312" w:hAnsi="仿宋_GB2312" w:cs="仿宋_GB2312" w:eastAsia="仿宋_GB2312"/>
                <w:sz w:val="24"/>
              </w:rPr>
              <w:t>4.房屋出租前出租房须确保出租房屋的水、电、气、物业及相关的基本设施设备等安全可用检验合格</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详见服务要求及采购合同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本项目属于一签服务三年项目，合同一年一签，合同签订后，一次性支付当年合同金额。</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①具有独立承担民事责任能力的法人、其他组织或自然人，提供合法有效的统一社会信用代码营业执照（事业单位法人证书/专业服务机构执业许可证/民办非企业单位登记证书，自然人提供身份证）；②税收缴纳证明：法人提供谈判截止日前一年内任意一个月的纳税证明或完税证明，纳税证明或完税证明上应有代收机构或税务机关的公章或业务专用章；其他组织和自然人提供谈判截止日前一年内任意一个月缴纳税收的凭据；依法免税的或者依法不需缴税的供应商应提供相关文件证明；③社会保障资金缴纳证明：提供谈判截止日前一年内任意一个月已缴纳的社会保障资金的证明（社会保障资金缴存单据或社保机构开具的社会保险参保缴费情况证明等）；依法不需要缴纳社会保障资金的供应商应提供相关文件证明；④提供具有履行本合同所必需的设备和专业技术能力的声明；⑤参加本次政府采购活动前3年内在经营活动中没有重大违纪，以及未被列入失信被执行人、重大税收违法案件当事人名单、政府采购严重违法失信行为记录名单的书面声明；注：以上②-③项，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财务状况报告：法人提供会计师事务所出具的有效的2023年度或2024年度审计报告（成立时间至提交响应文件截止时间不足一年的可提供成立后任意时段的资产负债表），或提交在开标日期前六个月内其开户银行出具的资信证明，或信用担保机构出具的投标担保函（以上三种形式的资料提供任何一种即可）；其他组织和自然人提供银行出具的资信证明或财务报表；注：此项资格提供“陕西省政府采购供应商信用承诺书”的，可不再提供其他证明文件。</w:t>
            </w:r>
          </w:p>
        </w:tc>
        <w:tc>
          <w:tcPr>
            <w:tcW w:type="dxa" w:w="1661"/>
          </w:tcPr>
          <w:p>
            <w:pPr>
              <w:pStyle w:val="null3"/>
            </w:pPr>
            <w:r>
              <w:rPr>
                <w:rFonts w:ascii="仿宋_GB2312" w:hAnsi="仿宋_GB2312" w:cs="仿宋_GB2312" w:eastAsia="仿宋_GB2312"/>
              </w:rPr>
              <w:t>供应商资格证明文件.docx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1）法定代表人直接参加投标，须提供法定代表人身份证明及身份证复印件 2）授权代表参与投标，须提供法定代表人授权书（附法定代表人、被授权人身份证复印件）及被授权人身份证复印件；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供应商不得为“信用中国”网站(http://www.creditchina.gov.cn)列入“失信被执行人或重大税收违法失信主体或政府采购严重违法失信行为记录名单”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不接受联合体谈判</w:t>
            </w:r>
          </w:p>
        </w:tc>
        <w:tc>
          <w:tcPr>
            <w:tcW w:type="dxa" w:w="3322"/>
          </w:tcPr>
          <w:p>
            <w:pPr>
              <w:pStyle w:val="null3"/>
            </w:pPr>
            <w:r>
              <w:rPr>
                <w:rFonts w:ascii="仿宋_GB2312" w:hAnsi="仿宋_GB2312" w:cs="仿宋_GB2312" w:eastAsia="仿宋_GB2312"/>
              </w:rPr>
              <w:t>本项目不接受联合体谈判。</w:t>
            </w:r>
          </w:p>
        </w:tc>
        <w:tc>
          <w:tcPr>
            <w:tcW w:type="dxa" w:w="1661"/>
          </w:tcPr>
          <w:p>
            <w:pPr>
              <w:pStyle w:val="null3"/>
            </w:pPr>
            <w:r>
              <w:rPr>
                <w:rFonts w:ascii="仿宋_GB2312" w:hAnsi="仿宋_GB2312" w:cs="仿宋_GB2312" w:eastAsia="仿宋_GB2312"/>
              </w:rPr>
              <w:t>供应商资格证明文件.docx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谈判报价</w:t>
            </w:r>
          </w:p>
        </w:tc>
        <w:tc>
          <w:tcPr>
            <w:tcW w:type="dxa" w:w="3322"/>
          </w:tcPr>
          <w:p>
            <w:pPr>
              <w:pStyle w:val="null3"/>
            </w:pPr>
            <w:r>
              <w:rPr>
                <w:rFonts w:ascii="仿宋_GB2312" w:hAnsi="仿宋_GB2312" w:cs="仿宋_GB2312" w:eastAsia="仿宋_GB2312"/>
              </w:rPr>
              <w:t>完整无缺项，未超过最高限价(单价限价)，无选择性报价。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谈判响应文件的有效期</w:t>
            </w:r>
          </w:p>
        </w:tc>
        <w:tc>
          <w:tcPr>
            <w:tcW w:type="dxa" w:w="3322"/>
          </w:tcPr>
          <w:p>
            <w:pPr>
              <w:pStyle w:val="null3"/>
            </w:pPr>
            <w:r>
              <w:rPr>
                <w:rFonts w:ascii="仿宋_GB2312" w:hAnsi="仿宋_GB2312" w:cs="仿宋_GB2312" w:eastAsia="仿宋_GB2312"/>
              </w:rPr>
              <w:t>自谈判响应文件递交截止之日起90个日历日。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谈判响应文件签字、盖章</w:t>
            </w:r>
          </w:p>
        </w:tc>
        <w:tc>
          <w:tcPr>
            <w:tcW w:type="dxa" w:w="3322"/>
          </w:tcPr>
          <w:p>
            <w:pPr>
              <w:pStyle w:val="null3"/>
            </w:pPr>
            <w:r>
              <w:rPr>
                <w:rFonts w:ascii="仿宋_GB2312" w:hAnsi="仿宋_GB2312" w:cs="仿宋_GB2312" w:eastAsia="仿宋_GB2312"/>
              </w:rPr>
              <w:t>谈判响应文件的签字盖章合格有效</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满足谈判文件要求。</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完全理解并响应谈判文件合同条款的要求，且未含有采购人不能接受的附加条件的。</w:t>
            </w:r>
          </w:p>
        </w:tc>
        <w:tc>
          <w:tcPr>
            <w:tcW w:type="dxa" w:w="1661"/>
          </w:tcPr>
          <w:p>
            <w:pPr>
              <w:pStyle w:val="null3"/>
            </w:pPr>
            <w:r>
              <w:rPr>
                <w:rFonts w:ascii="仿宋_GB2312" w:hAnsi="仿宋_GB2312" w:cs="仿宋_GB2312" w:eastAsia="仿宋_GB2312"/>
              </w:rPr>
              <w:t>服务条款偏离表.docx 商务条款偏离表.docx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符合谈判文件的实质性要求</w:t>
            </w:r>
          </w:p>
        </w:tc>
        <w:tc>
          <w:tcPr>
            <w:tcW w:type="dxa" w:w="3322"/>
          </w:tcPr>
          <w:p>
            <w:pPr>
              <w:pStyle w:val="null3"/>
            </w:pPr>
            <w:r>
              <w:rPr>
                <w:rFonts w:ascii="仿宋_GB2312" w:hAnsi="仿宋_GB2312" w:cs="仿宋_GB2312" w:eastAsia="仿宋_GB2312"/>
              </w:rPr>
              <w:t>供应商按照谈判文件要求上传谈判响应文件</w:t>
            </w:r>
          </w:p>
        </w:tc>
        <w:tc>
          <w:tcPr>
            <w:tcW w:type="dxa" w:w="1661"/>
          </w:tcPr>
          <w:p>
            <w:pPr>
              <w:pStyle w:val="null3"/>
            </w:pPr>
            <w:r>
              <w:rPr>
                <w:rFonts w:ascii="仿宋_GB2312" w:hAnsi="仿宋_GB2312" w:cs="仿宋_GB2312" w:eastAsia="仿宋_GB2312"/>
              </w:rPr>
              <w:t>谈判响应方案说明书.docx 其他证明材料.docx 供应商资格证明文件.docx 服务条款偏离表.docx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详见附件：服务条款偏离表.docx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详见附件：谈判响应方案说明书.docx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详见附件：其他证明材料.docx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