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15145">
      <w:pPr>
        <w:pStyle w:val="2"/>
        <w:rPr>
          <w:rFonts w:hint="eastAsia"/>
          <w:lang w:eastAsia="zh-CN"/>
        </w:rPr>
      </w:pPr>
    </w:p>
    <w:p w14:paraId="5EF52106">
      <w:pPr>
        <w:ind w:left="0" w:leftChars="0" w:firstLine="0" w:firstLineChars="0"/>
        <w:jc w:val="center"/>
        <w:rPr>
          <w:rFonts w:hint="eastAsia" w:asciiTheme="majorEastAsia" w:hAnsiTheme="majorEastAsia" w:eastAsiaTheme="majorEastAsia" w:cstheme="majorEastAsia"/>
          <w:b/>
          <w:color w:val="000000" w:themeColor="text1"/>
          <w:sz w:val="56"/>
          <w:szCs w:val="36"/>
          <w:highlight w:val="none"/>
          <w:lang w:eastAsia="zh-CN"/>
          <w14:textFill>
            <w14:solidFill>
              <w14:schemeClr w14:val="tx1"/>
            </w14:solidFill>
          </w14:textFill>
        </w:rPr>
      </w:pPr>
    </w:p>
    <w:p w14:paraId="1A3E4A8D">
      <w:pPr>
        <w:ind w:left="0" w:leftChars="0" w:firstLine="0" w:firstLineChars="0"/>
        <w:jc w:val="center"/>
        <w:rPr>
          <w:rFonts w:hint="eastAsia" w:asciiTheme="majorEastAsia" w:hAnsiTheme="majorEastAsia" w:eastAsiaTheme="majorEastAsia" w:cstheme="majorEastAsia"/>
          <w:b/>
          <w:color w:val="000000" w:themeColor="text1"/>
          <w:sz w:val="56"/>
          <w:szCs w:val="36"/>
          <w:highlight w:val="none"/>
          <w14:textFill>
            <w14:solidFill>
              <w14:schemeClr w14:val="tx1"/>
            </w14:solidFill>
          </w14:textFill>
        </w:rPr>
      </w:pPr>
      <w:r>
        <w:rPr>
          <w:rFonts w:hint="eastAsia" w:asciiTheme="majorEastAsia" w:hAnsiTheme="majorEastAsia" w:eastAsiaTheme="majorEastAsia" w:cstheme="majorEastAsia"/>
          <w:b/>
          <w:color w:val="000000" w:themeColor="text1"/>
          <w:sz w:val="56"/>
          <w:szCs w:val="36"/>
          <w:highlight w:val="none"/>
          <w:lang w:eastAsia="zh-CN"/>
          <w14:textFill>
            <w14:solidFill>
              <w14:schemeClr w14:val="tx1"/>
            </w14:solidFill>
          </w14:textFill>
        </w:rPr>
        <w:t>枣园人民法庭业务用房租赁项目</w:t>
      </w:r>
    </w:p>
    <w:p w14:paraId="75D1E8C9">
      <w:pPr>
        <w:keepNext w:val="0"/>
        <w:keepLines w:val="0"/>
        <w:pageBreakBefore w:val="0"/>
        <w:widowControl w:val="0"/>
        <w:kinsoku/>
        <w:wordWrap/>
        <w:overflowPunct/>
        <w:topLinePunct w:val="0"/>
        <w:autoSpaceDE/>
        <w:autoSpaceDN/>
        <w:bidi w:val="0"/>
        <w:adjustRightInd/>
        <w:snapToGrid w:val="0"/>
        <w:spacing w:line="480" w:lineRule="auto"/>
        <w:ind w:left="0" w:leftChars="0" w:firstLine="0" w:firstLineChars="0"/>
        <w:jc w:val="center"/>
        <w:textAlignment w:val="auto"/>
        <w:rPr>
          <w:rFonts w:hint="eastAsia" w:asciiTheme="majorEastAsia" w:hAnsiTheme="majorEastAsia" w:eastAsiaTheme="majorEastAsia" w:cstheme="majorEastAsia"/>
          <w:b/>
          <w:color w:val="000000" w:themeColor="text1"/>
          <w:sz w:val="48"/>
          <w:szCs w:val="36"/>
          <w:highlight w:val="none"/>
          <w14:textFill>
            <w14:solidFill>
              <w14:schemeClr w14:val="tx1"/>
            </w14:solidFill>
          </w14:textFill>
        </w:rPr>
      </w:pPr>
    </w:p>
    <w:p w14:paraId="0E26E3C5">
      <w:pPr>
        <w:keepNext w:val="0"/>
        <w:keepLines w:val="0"/>
        <w:pageBreakBefore w:val="0"/>
        <w:widowControl w:val="0"/>
        <w:kinsoku/>
        <w:wordWrap/>
        <w:overflowPunct/>
        <w:topLinePunct w:val="0"/>
        <w:autoSpaceDE/>
        <w:autoSpaceDN/>
        <w:bidi w:val="0"/>
        <w:adjustRightInd/>
        <w:snapToGrid w:val="0"/>
        <w:spacing w:line="480" w:lineRule="auto"/>
        <w:ind w:left="0" w:leftChars="0" w:firstLine="0" w:firstLineChars="0"/>
        <w:jc w:val="center"/>
        <w:textAlignment w:val="auto"/>
        <w:rPr>
          <w:rFonts w:hint="eastAsia" w:asciiTheme="majorEastAsia" w:hAnsiTheme="majorEastAsia" w:eastAsiaTheme="majorEastAsia" w:cstheme="majorEastAsia"/>
          <w:b/>
          <w:color w:val="000000" w:themeColor="text1"/>
          <w:sz w:val="48"/>
          <w:szCs w:val="36"/>
          <w:highlight w:val="none"/>
          <w14:textFill>
            <w14:solidFill>
              <w14:schemeClr w14:val="tx1"/>
            </w14:solidFill>
          </w14:textFill>
        </w:rPr>
      </w:pPr>
      <w:r>
        <w:rPr>
          <w:rFonts w:hint="eastAsia" w:asciiTheme="majorEastAsia" w:hAnsiTheme="majorEastAsia" w:eastAsiaTheme="majorEastAsia" w:cstheme="majorEastAsia"/>
          <w:b/>
          <w:color w:val="000000" w:themeColor="text1"/>
          <w:sz w:val="48"/>
          <w:szCs w:val="36"/>
          <w:highlight w:val="none"/>
          <w14:textFill>
            <w14:solidFill>
              <w14:schemeClr w14:val="tx1"/>
            </w14:solidFill>
          </w14:textFill>
        </w:rPr>
        <w:t>合</w:t>
      </w:r>
    </w:p>
    <w:p w14:paraId="56E5D0E3">
      <w:pPr>
        <w:keepNext w:val="0"/>
        <w:keepLines w:val="0"/>
        <w:pageBreakBefore w:val="0"/>
        <w:widowControl w:val="0"/>
        <w:kinsoku/>
        <w:wordWrap/>
        <w:overflowPunct/>
        <w:topLinePunct w:val="0"/>
        <w:autoSpaceDE/>
        <w:autoSpaceDN/>
        <w:bidi w:val="0"/>
        <w:adjustRightInd/>
        <w:snapToGrid w:val="0"/>
        <w:spacing w:line="480" w:lineRule="auto"/>
        <w:ind w:left="0" w:leftChars="0" w:firstLine="0" w:firstLineChars="0"/>
        <w:jc w:val="center"/>
        <w:textAlignment w:val="auto"/>
        <w:rPr>
          <w:rFonts w:hint="eastAsia" w:asciiTheme="majorEastAsia" w:hAnsiTheme="majorEastAsia" w:eastAsiaTheme="majorEastAsia" w:cstheme="majorEastAsia"/>
          <w:b/>
          <w:color w:val="000000" w:themeColor="text1"/>
          <w:sz w:val="44"/>
          <w:szCs w:val="36"/>
          <w:highlight w:val="none"/>
          <w14:textFill>
            <w14:solidFill>
              <w14:schemeClr w14:val="tx1"/>
            </w14:solidFill>
          </w14:textFill>
        </w:rPr>
      </w:pPr>
      <w:r>
        <w:rPr>
          <w:rFonts w:hint="eastAsia" w:asciiTheme="majorEastAsia" w:hAnsiTheme="majorEastAsia" w:eastAsiaTheme="majorEastAsia" w:cstheme="majorEastAsia"/>
          <w:b/>
          <w:color w:val="000000" w:themeColor="text1"/>
          <w:sz w:val="44"/>
          <w:szCs w:val="36"/>
          <w:highlight w:val="none"/>
          <w14:textFill>
            <w14:solidFill>
              <w14:schemeClr w14:val="tx1"/>
            </w14:solidFill>
          </w14:textFill>
        </w:rPr>
        <w:t>同</w:t>
      </w:r>
    </w:p>
    <w:p w14:paraId="2C1947E9">
      <w:pPr>
        <w:keepNext w:val="0"/>
        <w:keepLines w:val="0"/>
        <w:pageBreakBefore w:val="0"/>
        <w:widowControl w:val="0"/>
        <w:kinsoku/>
        <w:wordWrap/>
        <w:overflowPunct/>
        <w:topLinePunct w:val="0"/>
        <w:autoSpaceDE/>
        <w:autoSpaceDN/>
        <w:bidi w:val="0"/>
        <w:adjustRightInd/>
        <w:snapToGrid w:val="0"/>
        <w:spacing w:line="480" w:lineRule="auto"/>
        <w:ind w:left="0" w:leftChars="0" w:firstLine="0" w:firstLineChars="0"/>
        <w:jc w:val="center"/>
        <w:textAlignment w:val="auto"/>
        <w:rPr>
          <w:rFonts w:hint="eastAsia" w:asciiTheme="majorEastAsia" w:hAnsiTheme="majorEastAsia" w:eastAsiaTheme="majorEastAsia" w:cstheme="majorEastAsia"/>
          <w:b/>
          <w:color w:val="000000" w:themeColor="text1"/>
          <w:sz w:val="44"/>
          <w:szCs w:val="36"/>
          <w:highlight w:val="none"/>
          <w14:textFill>
            <w14:solidFill>
              <w14:schemeClr w14:val="tx1"/>
            </w14:solidFill>
          </w14:textFill>
        </w:rPr>
      </w:pPr>
      <w:r>
        <w:rPr>
          <w:rFonts w:hint="eastAsia" w:asciiTheme="majorEastAsia" w:hAnsiTheme="majorEastAsia" w:eastAsiaTheme="majorEastAsia" w:cstheme="majorEastAsia"/>
          <w:b/>
          <w:color w:val="000000" w:themeColor="text1"/>
          <w:sz w:val="44"/>
          <w:szCs w:val="36"/>
          <w:highlight w:val="none"/>
          <w14:textFill>
            <w14:solidFill>
              <w14:schemeClr w14:val="tx1"/>
            </w14:solidFill>
          </w14:textFill>
        </w:rPr>
        <w:t>书</w:t>
      </w:r>
    </w:p>
    <w:p w14:paraId="043DDF26">
      <w:pPr>
        <w:pStyle w:val="3"/>
        <w:ind w:left="0" w:leftChars="0" w:firstLine="0" w:firstLineChars="0"/>
        <w:rPr>
          <w:rFonts w:hint="eastAsia" w:asciiTheme="majorEastAsia" w:hAnsiTheme="majorEastAsia" w:eastAsiaTheme="majorEastAsia" w:cstheme="majorEastAsia"/>
          <w:b/>
          <w:color w:val="000000" w:themeColor="text1"/>
          <w:sz w:val="36"/>
          <w:szCs w:val="36"/>
          <w:highlight w:val="none"/>
          <w14:textFill>
            <w14:solidFill>
              <w14:schemeClr w14:val="tx1"/>
            </w14:solidFill>
          </w14:textFill>
        </w:rPr>
      </w:pPr>
    </w:p>
    <w:p w14:paraId="15C1619E">
      <w:pPr>
        <w:keepNext w:val="0"/>
        <w:keepLines w:val="0"/>
        <w:pageBreakBefore w:val="0"/>
        <w:widowControl w:val="0"/>
        <w:kinsoku/>
        <w:wordWrap/>
        <w:overflowPunct/>
        <w:topLinePunct w:val="0"/>
        <w:autoSpaceDE/>
        <w:autoSpaceDN/>
        <w:bidi w:val="0"/>
        <w:adjustRightInd/>
        <w:snapToGrid w:val="0"/>
        <w:spacing w:line="480" w:lineRule="auto"/>
        <w:ind w:firstLine="3092" w:firstLineChars="1100"/>
        <w:jc w:val="left"/>
        <w:textAlignment w:val="auto"/>
        <w:rPr>
          <w:rFonts w:hint="eastAsia" w:asciiTheme="majorEastAsia" w:hAnsiTheme="majorEastAsia" w:eastAsiaTheme="majorEastAsia" w:cstheme="majorEastAsia"/>
          <w:b/>
          <w:color w:val="000000" w:themeColor="text1"/>
          <w:sz w:val="28"/>
          <w:szCs w:val="36"/>
          <w:highlight w:val="none"/>
          <w14:textFill>
            <w14:solidFill>
              <w14:schemeClr w14:val="tx1"/>
            </w14:solidFill>
          </w14:textFill>
        </w:rPr>
      </w:pPr>
    </w:p>
    <w:p w14:paraId="2625B904">
      <w:pPr>
        <w:keepNext w:val="0"/>
        <w:keepLines w:val="0"/>
        <w:pageBreakBefore w:val="0"/>
        <w:widowControl w:val="0"/>
        <w:kinsoku/>
        <w:wordWrap/>
        <w:overflowPunct/>
        <w:topLinePunct w:val="0"/>
        <w:autoSpaceDE/>
        <w:autoSpaceDN/>
        <w:bidi w:val="0"/>
        <w:adjustRightInd/>
        <w:snapToGrid w:val="0"/>
        <w:spacing w:line="480" w:lineRule="auto"/>
        <w:ind w:firstLine="1124" w:firstLineChars="400"/>
        <w:jc w:val="left"/>
        <w:textAlignment w:val="auto"/>
        <w:rPr>
          <w:rFonts w:hint="eastAsia" w:asciiTheme="majorEastAsia" w:hAnsiTheme="majorEastAsia" w:eastAsiaTheme="majorEastAsia" w:cstheme="majorEastAsia"/>
          <w:b/>
          <w:color w:val="000000" w:themeColor="text1"/>
          <w:sz w:val="28"/>
          <w:szCs w:val="36"/>
          <w:highlight w:val="none"/>
          <w:lang w:eastAsia="zh-CN"/>
          <w14:textFill>
            <w14:solidFill>
              <w14:schemeClr w14:val="tx1"/>
            </w14:solidFill>
          </w14:textFill>
        </w:rPr>
      </w:pPr>
      <w:r>
        <w:rPr>
          <w:rFonts w:hint="eastAsia" w:asciiTheme="majorEastAsia" w:hAnsiTheme="majorEastAsia" w:eastAsiaTheme="majorEastAsia" w:cstheme="majorEastAsia"/>
          <w:b/>
          <w:color w:val="000000" w:themeColor="text1"/>
          <w:sz w:val="28"/>
          <w:szCs w:val="36"/>
          <w:highlight w:val="none"/>
          <w14:textFill>
            <w14:solidFill>
              <w14:schemeClr w14:val="tx1"/>
            </w14:solidFill>
          </w14:textFill>
        </w:rPr>
        <w:t>甲方：</w:t>
      </w:r>
      <w:r>
        <w:rPr>
          <w:rFonts w:hint="eastAsia" w:asciiTheme="majorEastAsia" w:hAnsiTheme="majorEastAsia" w:eastAsiaTheme="majorEastAsia" w:cstheme="majorEastAsia"/>
          <w:b/>
          <w:color w:val="000000" w:themeColor="text1"/>
          <w:sz w:val="28"/>
          <w:szCs w:val="36"/>
          <w:highlight w:val="none"/>
          <w:lang w:eastAsia="zh-CN"/>
          <w14:textFill>
            <w14:solidFill>
              <w14:schemeClr w14:val="tx1"/>
            </w14:solidFill>
          </w14:textFill>
        </w:rPr>
        <w:t>陕西福水源物业管理有限公司</w:t>
      </w:r>
    </w:p>
    <w:p w14:paraId="63601D46">
      <w:pPr>
        <w:keepNext w:val="0"/>
        <w:keepLines w:val="0"/>
        <w:pageBreakBefore w:val="0"/>
        <w:widowControl w:val="0"/>
        <w:kinsoku/>
        <w:wordWrap/>
        <w:overflowPunct/>
        <w:topLinePunct w:val="0"/>
        <w:autoSpaceDE/>
        <w:autoSpaceDN/>
        <w:bidi w:val="0"/>
        <w:adjustRightInd/>
        <w:snapToGrid w:val="0"/>
        <w:spacing w:line="480" w:lineRule="auto"/>
        <w:ind w:firstLine="1124" w:firstLineChars="400"/>
        <w:jc w:val="left"/>
        <w:textAlignment w:val="auto"/>
        <w:rPr>
          <w:rFonts w:hint="eastAsia" w:asciiTheme="majorEastAsia" w:hAnsiTheme="majorEastAsia" w:eastAsiaTheme="majorEastAsia" w:cstheme="majorEastAsia"/>
          <w:b/>
          <w:color w:val="000000" w:themeColor="text1"/>
          <w:sz w:val="28"/>
          <w:szCs w:val="36"/>
          <w:highlight w:val="none"/>
          <w:u w:val="single"/>
          <w14:textFill>
            <w14:solidFill>
              <w14:schemeClr w14:val="tx1"/>
            </w14:solidFill>
          </w14:textFill>
        </w:rPr>
      </w:pPr>
      <w:r>
        <w:rPr>
          <w:rFonts w:hint="eastAsia" w:asciiTheme="majorEastAsia" w:hAnsiTheme="majorEastAsia" w:eastAsiaTheme="majorEastAsia" w:cstheme="majorEastAsia"/>
          <w:b/>
          <w:color w:val="000000" w:themeColor="text1"/>
          <w:sz w:val="28"/>
          <w:szCs w:val="36"/>
          <w:highlight w:val="none"/>
          <w14:textFill>
            <w14:solidFill>
              <w14:schemeClr w14:val="tx1"/>
            </w14:solidFill>
          </w14:textFill>
        </w:rPr>
        <w:t>乙方：</w:t>
      </w:r>
      <w:r>
        <w:rPr>
          <w:rFonts w:hint="eastAsia" w:asciiTheme="majorEastAsia" w:hAnsiTheme="majorEastAsia" w:eastAsiaTheme="majorEastAsia" w:cstheme="majorEastAsia"/>
          <w:b/>
          <w:color w:val="000000" w:themeColor="text1"/>
          <w:sz w:val="28"/>
          <w:szCs w:val="36"/>
          <w:highlight w:val="none"/>
          <w:u w:val="none"/>
          <w14:textFill>
            <w14:solidFill>
              <w14:schemeClr w14:val="tx1"/>
            </w14:solidFill>
          </w14:textFill>
        </w:rPr>
        <w:t>西安市莲湖区人民法院</w:t>
      </w:r>
    </w:p>
    <w:p w14:paraId="60E1CD38">
      <w:pPr>
        <w:keepNext w:val="0"/>
        <w:keepLines w:val="0"/>
        <w:pageBreakBefore w:val="0"/>
        <w:widowControl w:val="0"/>
        <w:kinsoku/>
        <w:wordWrap/>
        <w:overflowPunct/>
        <w:topLinePunct w:val="0"/>
        <w:autoSpaceDE/>
        <w:autoSpaceDN/>
        <w:bidi w:val="0"/>
        <w:adjustRightInd/>
        <w:snapToGrid w:val="0"/>
        <w:spacing w:line="480" w:lineRule="auto"/>
        <w:ind w:left="0" w:leftChars="0" w:firstLine="0" w:firstLineChars="0"/>
        <w:jc w:val="center"/>
        <w:textAlignment w:val="auto"/>
        <w:rPr>
          <w:rFonts w:hint="eastAsia" w:asciiTheme="majorEastAsia" w:hAnsiTheme="majorEastAsia" w:eastAsiaTheme="majorEastAsia" w:cstheme="majorEastAsia"/>
          <w:b/>
          <w:color w:val="000000" w:themeColor="text1"/>
          <w:sz w:val="28"/>
          <w:szCs w:val="36"/>
          <w:highlight w:val="none"/>
          <w14:textFill>
            <w14:solidFill>
              <w14:schemeClr w14:val="tx1"/>
            </w14:solidFill>
          </w14:textFill>
        </w:rPr>
      </w:pPr>
    </w:p>
    <w:p w14:paraId="1AC1432B">
      <w:pPr>
        <w:keepNext w:val="0"/>
        <w:keepLines w:val="0"/>
        <w:pageBreakBefore w:val="0"/>
        <w:widowControl w:val="0"/>
        <w:kinsoku/>
        <w:wordWrap/>
        <w:overflowPunct/>
        <w:topLinePunct w:val="0"/>
        <w:autoSpaceDE/>
        <w:autoSpaceDN/>
        <w:bidi w:val="0"/>
        <w:adjustRightInd/>
        <w:snapToGrid w:val="0"/>
        <w:spacing w:line="480" w:lineRule="auto"/>
        <w:ind w:left="0" w:leftChars="0" w:firstLine="0" w:firstLineChars="0"/>
        <w:jc w:val="center"/>
        <w:textAlignment w:val="auto"/>
        <w:rPr>
          <w:rFonts w:hint="eastAsia" w:asciiTheme="majorEastAsia" w:hAnsiTheme="majorEastAsia" w:eastAsiaTheme="majorEastAsia" w:cstheme="majorEastAsia"/>
          <w:b/>
          <w:color w:val="000000" w:themeColor="text1"/>
          <w:sz w:val="28"/>
          <w:szCs w:val="36"/>
          <w:highlight w:val="none"/>
          <w14:textFill>
            <w14:solidFill>
              <w14:schemeClr w14:val="tx1"/>
            </w14:solidFill>
          </w14:textFill>
        </w:rPr>
      </w:pPr>
    </w:p>
    <w:p w14:paraId="5CCDA35F">
      <w:pPr>
        <w:rPr>
          <w:rFonts w:hint="eastAsia" w:asciiTheme="majorEastAsia" w:hAnsiTheme="majorEastAsia" w:eastAsiaTheme="majorEastAsia" w:cstheme="majorEastAsia"/>
          <w:b/>
          <w:color w:val="000000" w:themeColor="text1"/>
          <w:sz w:val="36"/>
          <w:szCs w:val="36"/>
          <w:highlight w:val="none"/>
          <w14:textFill>
            <w14:solidFill>
              <w14:schemeClr w14:val="tx1"/>
            </w14:solidFill>
          </w14:textFill>
        </w:rPr>
      </w:pPr>
      <w:r>
        <w:rPr>
          <w:rFonts w:hint="eastAsia" w:asciiTheme="majorEastAsia" w:hAnsiTheme="majorEastAsia" w:eastAsiaTheme="majorEastAsia" w:cstheme="majorEastAsia"/>
          <w:b/>
          <w:color w:val="000000" w:themeColor="text1"/>
          <w:sz w:val="36"/>
          <w:szCs w:val="36"/>
          <w:highlight w:val="none"/>
          <w14:textFill>
            <w14:solidFill>
              <w14:schemeClr w14:val="tx1"/>
            </w14:solidFill>
          </w14:textFill>
        </w:rPr>
        <w:br w:type="page"/>
      </w:r>
    </w:p>
    <w:p w14:paraId="0287EE25">
      <w:pPr>
        <w:spacing w:line="480" w:lineRule="exact"/>
        <w:jc w:val="center"/>
        <w:rPr>
          <w:rFonts w:asciiTheme="majorEastAsia" w:hAnsiTheme="majorEastAsia" w:eastAsiaTheme="majorEastAsia" w:cstheme="majorEastAsia"/>
          <w:b/>
          <w:color w:val="000000" w:themeColor="text1"/>
          <w:sz w:val="36"/>
          <w:szCs w:val="36"/>
          <w14:textFill>
            <w14:solidFill>
              <w14:schemeClr w14:val="tx1"/>
            </w14:solidFill>
          </w14:textFill>
        </w:rPr>
      </w:pPr>
      <w:r>
        <w:rPr>
          <w:rFonts w:hint="eastAsia" w:asciiTheme="majorEastAsia" w:hAnsiTheme="majorEastAsia" w:eastAsiaTheme="majorEastAsia" w:cstheme="majorEastAsia"/>
          <w:b/>
          <w:color w:val="000000" w:themeColor="text1"/>
          <w:sz w:val="36"/>
          <w:szCs w:val="36"/>
          <w:u w:val="single"/>
          <w14:textFill>
            <w14:solidFill>
              <w14:schemeClr w14:val="tx1"/>
            </w14:solidFill>
          </w14:textFill>
        </w:rPr>
        <w:t xml:space="preserve"> </w:t>
      </w:r>
      <w:r>
        <w:rPr>
          <w:rFonts w:asciiTheme="majorEastAsia" w:hAnsiTheme="majorEastAsia" w:eastAsiaTheme="majorEastAsia" w:cstheme="majorEastAsia"/>
          <w:b/>
          <w:color w:val="000000" w:themeColor="text1"/>
          <w:sz w:val="36"/>
          <w:szCs w:val="36"/>
          <w:u w:val="single"/>
          <w14:textFill>
            <w14:solidFill>
              <w14:schemeClr w14:val="tx1"/>
            </w14:solidFill>
          </w14:textFill>
        </w:rPr>
        <w:t xml:space="preserve">          </w:t>
      </w:r>
      <w:r>
        <w:rPr>
          <w:rFonts w:hint="eastAsia" w:asciiTheme="majorEastAsia" w:hAnsiTheme="majorEastAsia" w:eastAsiaTheme="majorEastAsia" w:cstheme="majorEastAsia"/>
          <w:b/>
          <w:color w:val="000000" w:themeColor="text1"/>
          <w:sz w:val="36"/>
          <w:szCs w:val="36"/>
          <w:u w:val="single"/>
          <w14:textFill>
            <w14:solidFill>
              <w14:schemeClr w14:val="tx1"/>
            </w14:solidFill>
          </w14:textFill>
        </w:rPr>
        <w:t xml:space="preserve"> </w:t>
      </w:r>
      <w:r>
        <w:rPr>
          <w:rFonts w:hint="eastAsia" w:asciiTheme="majorEastAsia" w:hAnsiTheme="majorEastAsia" w:eastAsiaTheme="majorEastAsia" w:cstheme="majorEastAsia"/>
          <w:b/>
          <w:color w:val="000000" w:themeColor="text1"/>
          <w:sz w:val="36"/>
          <w:szCs w:val="36"/>
          <w14:textFill>
            <w14:solidFill>
              <w14:schemeClr w14:val="tx1"/>
            </w14:solidFill>
          </w14:textFill>
        </w:rPr>
        <w:t>项目租赁合同</w:t>
      </w:r>
    </w:p>
    <w:p w14:paraId="7C5B5C92">
      <w:pPr>
        <w:spacing w:line="480" w:lineRule="exact"/>
        <w:jc w:val="center"/>
        <w:rPr>
          <w:rFonts w:asciiTheme="majorEastAsia" w:hAnsiTheme="majorEastAsia" w:eastAsiaTheme="majorEastAsia" w:cstheme="majorEastAsia"/>
          <w:b/>
          <w:color w:val="000000" w:themeColor="text1"/>
          <w:sz w:val="36"/>
          <w:szCs w:val="36"/>
          <w14:textFill>
            <w14:solidFill>
              <w14:schemeClr w14:val="tx1"/>
            </w14:solidFill>
          </w14:textFill>
        </w:rPr>
      </w:pPr>
    </w:p>
    <w:p w14:paraId="0938B111">
      <w:pPr>
        <w:adjustRightInd w:val="0"/>
        <w:snapToGrid w:val="0"/>
        <w:spacing w:line="480" w:lineRule="exact"/>
        <w:jc w:val="lef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甲方：</w:t>
      </w:r>
      <w:r>
        <w:rPr>
          <w:rFonts w:hint="eastAsia"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b/>
          <w:color w:val="000000" w:themeColor="text1"/>
          <w:sz w:val="24"/>
          <w:u w:val="single"/>
          <w14:textFill>
            <w14:solidFill>
              <w14:schemeClr w14:val="tx1"/>
            </w14:solidFill>
          </w14:textFill>
        </w:rPr>
        <w:t xml:space="preserve"> 　　</w:t>
      </w:r>
    </w:p>
    <w:p w14:paraId="35B4D2E3">
      <w:pPr>
        <w:adjustRightInd w:val="0"/>
        <w:snapToGrid w:val="0"/>
        <w:spacing w:line="480" w:lineRule="exac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地址：</w:t>
      </w:r>
      <w:r>
        <w:rPr>
          <w:rFonts w:hint="eastAsia"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b/>
          <w:color w:val="000000" w:themeColor="text1"/>
          <w:sz w:val="24"/>
          <w:u w:val="single"/>
          <w14:textFill>
            <w14:solidFill>
              <w14:schemeClr w14:val="tx1"/>
            </w14:solidFill>
          </w14:textFill>
        </w:rPr>
        <w:t>　　</w:t>
      </w:r>
    </w:p>
    <w:p w14:paraId="368418B0">
      <w:pPr>
        <w:adjustRightInd w:val="0"/>
        <w:snapToGrid w:val="0"/>
        <w:spacing w:line="480" w:lineRule="exact"/>
        <w:rPr>
          <w:rFonts w:asciiTheme="majorEastAsia" w:hAnsiTheme="majorEastAsia" w:eastAsiaTheme="majorEastAsia" w:cstheme="majorEastAsia"/>
          <w:b/>
          <w:color w:val="000000" w:themeColor="text1"/>
          <w:sz w:val="24"/>
          <w:u w:val="single"/>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联系电话：</w:t>
      </w:r>
      <w:r>
        <w:rPr>
          <w:rFonts w:hint="eastAsia"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b/>
          <w:color w:val="000000" w:themeColor="text1"/>
          <w:sz w:val="24"/>
          <w:u w:val="single"/>
          <w14:textFill>
            <w14:solidFill>
              <w14:schemeClr w14:val="tx1"/>
            </w14:solidFill>
          </w14:textFill>
        </w:rPr>
        <w:t>　                      　　</w:t>
      </w:r>
    </w:p>
    <w:p w14:paraId="5A07BFAD">
      <w:pPr>
        <w:adjustRightInd w:val="0"/>
        <w:snapToGrid w:val="0"/>
        <w:spacing w:line="480" w:lineRule="exact"/>
        <w:jc w:val="left"/>
        <w:rPr>
          <w:rFonts w:asciiTheme="majorEastAsia" w:hAnsiTheme="majorEastAsia" w:eastAsiaTheme="majorEastAsia" w:cstheme="majorEastAsia"/>
          <w:b/>
          <w:color w:val="000000" w:themeColor="text1"/>
          <w:sz w:val="24"/>
          <w14:textFill>
            <w14:solidFill>
              <w14:schemeClr w14:val="tx1"/>
            </w14:solidFill>
          </w14:textFill>
        </w:rPr>
      </w:pPr>
    </w:p>
    <w:p w14:paraId="4C410321">
      <w:pPr>
        <w:adjustRightInd w:val="0"/>
        <w:snapToGrid w:val="0"/>
        <w:spacing w:line="480" w:lineRule="exact"/>
        <w:jc w:val="lef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乙方：</w:t>
      </w:r>
      <w:r>
        <w:rPr>
          <w:rFonts w:hint="eastAsia"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b/>
          <w:color w:val="000000" w:themeColor="text1"/>
          <w:sz w:val="24"/>
          <w:u w:val="single"/>
          <w14:textFill>
            <w14:solidFill>
              <w14:schemeClr w14:val="tx1"/>
            </w14:solidFill>
          </w14:textFill>
        </w:rPr>
        <w:t xml:space="preserve"> 　　</w:t>
      </w:r>
    </w:p>
    <w:p w14:paraId="779D6738">
      <w:pPr>
        <w:adjustRightInd w:val="0"/>
        <w:snapToGrid w:val="0"/>
        <w:spacing w:line="480" w:lineRule="exact"/>
        <w:rPr>
          <w:rFonts w:asciiTheme="majorEastAsia" w:hAnsiTheme="majorEastAsia" w:eastAsiaTheme="majorEastAsia" w:cstheme="majorEastAsia"/>
          <w:b/>
          <w:color w:val="000000" w:themeColor="text1"/>
          <w:sz w:val="24"/>
          <w:u w:val="single"/>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地址：</w:t>
      </w:r>
      <w:r>
        <w:rPr>
          <w:rFonts w:hint="eastAsia"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b/>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b/>
          <w:color w:val="000000" w:themeColor="text1"/>
          <w:sz w:val="24"/>
          <w:u w:val="single"/>
          <w14:textFill>
            <w14:solidFill>
              <w14:schemeClr w14:val="tx1"/>
            </w14:solidFill>
          </w14:textFill>
        </w:rPr>
        <w:t xml:space="preserve"> 　　</w:t>
      </w:r>
    </w:p>
    <w:p w14:paraId="58234419">
      <w:pPr>
        <w:adjustRightInd w:val="0"/>
        <w:snapToGrid w:val="0"/>
        <w:spacing w:line="480" w:lineRule="exact"/>
        <w:ind w:left="0" w:leftChars="0" w:firstLine="0" w:firstLineChars="0"/>
        <w:rPr>
          <w:rFonts w:ascii="宋体" w:hAnsi="宋体"/>
          <w:b/>
          <w:color w:val="000000" w:themeColor="text1"/>
          <w:sz w:val="24"/>
          <w:u w:val="single"/>
          <w14:textFill>
            <w14:solidFill>
              <w14:schemeClr w14:val="tx1"/>
            </w14:solidFill>
          </w14:textFill>
        </w:rPr>
      </w:pPr>
      <w:r>
        <w:rPr>
          <w:rFonts w:hint="eastAsia" w:ascii="宋体" w:hAnsi="宋体"/>
          <w:b/>
          <w:color w:val="000000" w:themeColor="text1"/>
          <w:sz w:val="24"/>
          <w14:textFill>
            <w14:solidFill>
              <w14:schemeClr w14:val="tx1"/>
            </w14:solidFill>
          </w14:textFill>
        </w:rPr>
        <w:t xml:space="preserve">  </w:t>
      </w:r>
      <w:r>
        <w:rPr>
          <w:rFonts w:hint="eastAsia" w:ascii="宋体" w:hAnsi="宋体"/>
          <w:b/>
          <w:color w:val="000000" w:themeColor="text1"/>
          <w:sz w:val="24"/>
          <w:lang w:val="en-US" w:eastAsia="zh-CN"/>
          <w14:textFill>
            <w14:solidFill>
              <w14:schemeClr w14:val="tx1"/>
            </w14:solidFill>
          </w14:textFill>
        </w:rPr>
        <w:t xml:space="preserve"> </w:t>
      </w:r>
      <w:r>
        <w:rPr>
          <w:rFonts w:hint="eastAsia" w:ascii="宋体" w:hAnsi="宋体"/>
          <w:b/>
          <w:color w:val="000000" w:themeColor="text1"/>
          <w:sz w:val="24"/>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24"/>
          <w14:textFill>
            <w14:solidFill>
              <w14:schemeClr w14:val="tx1"/>
            </w14:solidFill>
          </w14:textFill>
        </w:rPr>
        <w:t>联系电话：</w:t>
      </w:r>
      <w:r>
        <w:rPr>
          <w:rFonts w:hint="eastAsia" w:asciiTheme="minorEastAsia" w:hAnsiTheme="minorEastAsia" w:eastAsiaTheme="minorEastAsia" w:cstheme="minorEastAsia"/>
          <w:b/>
          <w:color w:val="000000" w:themeColor="text1"/>
          <w:sz w:val="24"/>
          <w:u w:val="single"/>
          <w14:textFill>
            <w14:solidFill>
              <w14:schemeClr w14:val="tx1"/>
            </w14:solidFill>
          </w14:textFill>
        </w:rPr>
        <w:t xml:space="preserve">              </w:t>
      </w:r>
    </w:p>
    <w:p w14:paraId="193CB63E">
      <w:pPr>
        <w:spacing w:line="480" w:lineRule="exac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第一条  商铺的位置、面积和用途</w:t>
      </w:r>
    </w:p>
    <w:p w14:paraId="106EBA57">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1.1商铺的位置和面积</w:t>
      </w:r>
    </w:p>
    <w:p w14:paraId="244C0BC1">
      <w:pPr>
        <w:spacing w:line="480" w:lineRule="exact"/>
        <w:rPr>
          <w:rFonts w:asciiTheme="majorEastAsia" w:hAnsiTheme="majorEastAsia" w:eastAsiaTheme="majorEastAsia" w:cstheme="majorEastAsia"/>
          <w:color w:val="000000" w:themeColor="text1"/>
          <w:sz w:val="24"/>
          <w:u w:val="single"/>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甲、乙双方同意按照本合同的约定出租和承租位于</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asciiTheme="majorEastAsia" w:hAnsiTheme="majorEastAsia" w:eastAsia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，租赁面积</w:t>
      </w:r>
      <w:r>
        <w:rPr>
          <w:rFonts w:asciiTheme="majorEastAsia" w:hAnsiTheme="majorEastAsia" w:eastAsia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平方米（具体租赁区域以本合同附件一“商铺平面图”标注为准）。</w:t>
      </w:r>
    </w:p>
    <w:p w14:paraId="1463F668">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前述租赁面积为本合同所述物业管理费和本合同所述租金的计算依据。</w:t>
      </w:r>
    </w:p>
    <w:p w14:paraId="004DF425">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1.2商铺的用途</w:t>
      </w:r>
    </w:p>
    <w:p w14:paraId="4DFEA73A">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乙方承租商铺的用途为</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，乙方的经营主体与乙方连带承担本协议乙方之全部义务。</w:t>
      </w:r>
    </w:p>
    <w:p w14:paraId="0F4C082F">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非经甲方书面同意，乙方不得在本合同约定的租赁期内擅自变更租赁用途。</w:t>
      </w:r>
    </w:p>
    <w:p w14:paraId="0138A114">
      <w:pPr>
        <w:spacing w:line="480" w:lineRule="exac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第二条  租期</w:t>
      </w:r>
    </w:p>
    <w:p w14:paraId="490EA283">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鉴于该商铺由甲方根据乙方办公需求进行定制化装修交付，甲乙双方协商达成租赁意向为六年。本合同租期为</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年</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月</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日起至</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年</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月</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日止，共计</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年。本合同到期后，如甲乙双方协商一致可以续租。</w:t>
      </w:r>
    </w:p>
    <w:p w14:paraId="4D293B4A">
      <w:pPr>
        <w:spacing w:line="480" w:lineRule="exac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第三条  租金</w:t>
      </w:r>
    </w:p>
    <w:p w14:paraId="6B4BC505">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3.1租金自</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年</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月</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日起至</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年</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月</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日止，乙方租赁商铺的起始月租金为</w:t>
      </w:r>
      <w:r>
        <w:rPr>
          <w:rFonts w:hint="eastAsia" w:asciiTheme="majorEastAsia" w:hAnsiTheme="majorEastAsia" w:eastAsiaTheme="majorEastAsia" w:cstheme="majorEastAsia"/>
          <w:color w:val="000000" w:themeColor="text1"/>
          <w:sz w:val="24"/>
          <w:u w:val="single"/>
          <w14:textFill>
            <w14:solidFill>
              <w14:schemeClr w14:val="tx1"/>
            </w14:solidFill>
          </w14:textFill>
        </w:rPr>
        <w:t>人民币</w:t>
      </w:r>
      <w:r>
        <w:rPr>
          <w:rFonts w:hint="eastAsia" w:asciiTheme="majorEastAsia" w:hAnsiTheme="majorEastAsia" w:eastAsiaTheme="majorEastAsia" w:cstheme="majorEastAsia"/>
          <w:color w:val="000000" w:themeColor="text1"/>
          <w:sz w:val="24"/>
          <w14:textFill>
            <w14:solidFill>
              <w14:schemeClr w14:val="tx1"/>
            </w14:solidFill>
          </w14:textFill>
        </w:rPr>
        <w:t>￥</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元/㎡/月。租期内合计租金为人民币</w:t>
      </w:r>
      <w:r>
        <w:rPr>
          <w:rFonts w:hint="eastAsia" w:asciiTheme="majorEastAsia" w:hAnsiTheme="majorEastAsia" w:eastAsiaTheme="majorEastAsia" w:cstheme="majorEastAsia"/>
          <w:color w:val="000000" w:themeColor="text1"/>
          <w:sz w:val="24"/>
          <w:u w:val="single"/>
          <w14:textFill>
            <w14:solidFill>
              <w14:schemeClr w14:val="tx1"/>
            </w14:solidFill>
          </w14:textFill>
        </w:rPr>
        <w:t>￥</w:t>
      </w:r>
      <w:r>
        <w:rPr>
          <w:rFonts w:asciiTheme="majorEastAsia" w:hAnsiTheme="majorEastAsia" w:eastAsiaTheme="majorEastAsia" w:cstheme="majorEastAsia"/>
          <w:color w:val="000000" w:themeColor="text1"/>
          <w:kern w:val="0"/>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元（大写：   元整）。</w:t>
      </w:r>
    </w:p>
    <w:p w14:paraId="4E0750B0">
      <w:pPr>
        <w:spacing w:line="480" w:lineRule="exact"/>
        <w:rPr>
          <w:rFonts w:hint="eastAsia" w:asciiTheme="majorEastAsia" w:hAnsiTheme="majorEastAsia" w:eastAsiaTheme="majorEastAsia" w:cstheme="majorEastAsia"/>
          <w:color w:val="000000" w:themeColor="text1"/>
          <w:sz w:val="24"/>
          <w14:textFill>
            <w14:solidFill>
              <w14:schemeClr w14:val="tx1"/>
            </w14:solidFill>
          </w14:textFill>
        </w:rPr>
      </w:pPr>
    </w:p>
    <w:p w14:paraId="1A2BB8A6">
      <w:pPr>
        <w:spacing w:line="480" w:lineRule="exact"/>
        <w:rPr>
          <w:rFonts w:hint="eastAsia" w:asciiTheme="majorEastAsia" w:hAnsiTheme="majorEastAsia" w:eastAsiaTheme="majorEastAsia" w:cstheme="majorEastAsia"/>
          <w:color w:val="000000" w:themeColor="text1"/>
          <w:sz w:val="24"/>
          <w14:textFill>
            <w14:solidFill>
              <w14:schemeClr w14:val="tx1"/>
            </w14:solidFill>
          </w14:textFill>
        </w:rPr>
      </w:pPr>
    </w:p>
    <w:p w14:paraId="47343A51">
      <w:pPr>
        <w:spacing w:line="480" w:lineRule="exact"/>
        <w:rPr>
          <w:rFonts w:hint="eastAsia" w:asciiTheme="majorEastAsia" w:hAnsiTheme="majorEastAsia" w:eastAsiaTheme="majorEastAsia" w:cstheme="majorEastAsia"/>
          <w:color w:val="000000" w:themeColor="text1"/>
          <w:sz w:val="24"/>
          <w14:textFill>
            <w14:solidFill>
              <w14:schemeClr w14:val="tx1"/>
            </w14:solidFill>
          </w14:textFill>
        </w:rPr>
      </w:pPr>
    </w:p>
    <w:p w14:paraId="40014A74">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乙方租赁商铺的租金详情见下表：</w:t>
      </w:r>
    </w:p>
    <w:tbl>
      <w:tblPr>
        <w:tblStyle w:val="4"/>
        <w:tblW w:w="8488" w:type="dxa"/>
        <w:tblInd w:w="0" w:type="dxa"/>
        <w:tblLayout w:type="fixed"/>
        <w:tblCellMar>
          <w:top w:w="0" w:type="dxa"/>
          <w:left w:w="0" w:type="dxa"/>
          <w:bottom w:w="0" w:type="dxa"/>
          <w:right w:w="0" w:type="dxa"/>
        </w:tblCellMar>
      </w:tblPr>
      <w:tblGrid>
        <w:gridCol w:w="2484"/>
        <w:gridCol w:w="1905"/>
        <w:gridCol w:w="1935"/>
        <w:gridCol w:w="2164"/>
      </w:tblGrid>
      <w:tr w14:paraId="66A5863F">
        <w:tblPrEx>
          <w:tblCellMar>
            <w:top w:w="0" w:type="dxa"/>
            <w:left w:w="0" w:type="dxa"/>
            <w:bottom w:w="0" w:type="dxa"/>
            <w:right w:w="0" w:type="dxa"/>
          </w:tblCellMar>
        </w:tblPrEx>
        <w:trPr>
          <w:trHeight w:val="472" w:hRule="atLeast"/>
        </w:trPr>
        <w:tc>
          <w:tcPr>
            <w:tcW w:w="24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F4ED3E">
            <w:pPr>
              <w:widowControl/>
              <w:spacing w:line="480" w:lineRule="exact"/>
              <w:jc w:val="center"/>
              <w:textAlignment w:val="center"/>
              <w:rPr>
                <w:rFonts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租赁年度</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1AB7C">
            <w:pPr>
              <w:widowControl/>
              <w:spacing w:line="480" w:lineRule="exact"/>
              <w:jc w:val="center"/>
              <w:textAlignment w:val="center"/>
              <w:rPr>
                <w:rFonts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租赁面积</w:t>
            </w:r>
            <w:r>
              <w:rPr>
                <w:rFonts w:hint="eastAsia" w:ascii="宋体" w:hAnsi="宋体" w:eastAsia="宋体" w:cs="宋体"/>
                <w:b/>
                <w:color w:val="000000" w:themeColor="text1"/>
                <w:kern w:val="0"/>
                <w:sz w:val="24"/>
                <w14:textFill>
                  <w14:solidFill>
                    <w14:schemeClr w14:val="tx1"/>
                  </w14:solidFill>
                </w14:textFill>
              </w:rPr>
              <w:br w:type="textWrapping"/>
            </w:r>
            <w:r>
              <w:rPr>
                <w:rStyle w:val="6"/>
                <w:rFonts w:hint="default"/>
                <w:color w:val="000000" w:themeColor="text1"/>
                <w14:textFill>
                  <w14:solidFill>
                    <w14:schemeClr w14:val="tx1"/>
                  </w14:solidFill>
                </w14:textFill>
              </w:rPr>
              <w:t>（㎡）</w:t>
            </w:r>
          </w:p>
        </w:tc>
        <w:tc>
          <w:tcPr>
            <w:tcW w:w="1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4CBBE">
            <w:pPr>
              <w:widowControl/>
              <w:spacing w:line="480" w:lineRule="exact"/>
              <w:jc w:val="center"/>
              <w:textAlignment w:val="center"/>
              <w:rPr>
                <w:rFonts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租金</w:t>
            </w:r>
            <w:r>
              <w:rPr>
                <w:rFonts w:hint="eastAsia" w:ascii="宋体" w:hAnsi="宋体" w:eastAsia="宋体" w:cs="宋体"/>
                <w:b/>
                <w:color w:val="000000" w:themeColor="text1"/>
                <w:kern w:val="0"/>
                <w:sz w:val="24"/>
                <w14:textFill>
                  <w14:solidFill>
                    <w14:schemeClr w14:val="tx1"/>
                  </w14:solidFill>
                </w14:textFill>
              </w:rPr>
              <w:br w:type="textWrapping"/>
            </w:r>
            <w:r>
              <w:rPr>
                <w:rStyle w:val="6"/>
                <w:rFonts w:hint="default"/>
                <w:color w:val="000000" w:themeColor="text1"/>
                <w14:textFill>
                  <w14:solidFill>
                    <w14:schemeClr w14:val="tx1"/>
                  </w14:solidFill>
                </w14:textFill>
              </w:rPr>
              <w:t>（元/㎡·月）</w:t>
            </w:r>
          </w:p>
        </w:tc>
        <w:tc>
          <w:tcPr>
            <w:tcW w:w="21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27366">
            <w:pPr>
              <w:widowControl/>
              <w:spacing w:line="480" w:lineRule="exact"/>
              <w:jc w:val="center"/>
              <w:textAlignment w:val="center"/>
              <w:rPr>
                <w:rFonts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年度租金</w:t>
            </w:r>
            <w:r>
              <w:rPr>
                <w:rFonts w:hint="eastAsia" w:ascii="宋体" w:hAnsi="宋体" w:eastAsia="宋体" w:cs="宋体"/>
                <w:b/>
                <w:color w:val="000000" w:themeColor="text1"/>
                <w:kern w:val="0"/>
                <w:sz w:val="24"/>
                <w14:textFill>
                  <w14:solidFill>
                    <w14:schemeClr w14:val="tx1"/>
                  </w14:solidFill>
                </w14:textFill>
              </w:rPr>
              <w:br w:type="textWrapping"/>
            </w:r>
            <w:r>
              <w:rPr>
                <w:rStyle w:val="6"/>
                <w:rFonts w:hint="default"/>
                <w:color w:val="000000" w:themeColor="text1"/>
                <w14:textFill>
                  <w14:solidFill>
                    <w14:schemeClr w14:val="tx1"/>
                  </w14:solidFill>
                </w14:textFill>
              </w:rPr>
              <w:t>（元）</w:t>
            </w:r>
          </w:p>
        </w:tc>
      </w:tr>
      <w:tr w14:paraId="1994FF8B">
        <w:tblPrEx>
          <w:tblCellMar>
            <w:top w:w="0" w:type="dxa"/>
            <w:left w:w="0" w:type="dxa"/>
            <w:bottom w:w="0" w:type="dxa"/>
            <w:right w:w="0" w:type="dxa"/>
          </w:tblCellMar>
        </w:tblPrEx>
        <w:trPr>
          <w:trHeight w:val="537" w:hRule="atLeast"/>
        </w:trPr>
        <w:tc>
          <w:tcPr>
            <w:tcW w:w="24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48CEA">
            <w:pPr>
              <w:widowControl/>
              <w:spacing w:line="480" w:lineRule="exact"/>
              <w:jc w:val="center"/>
              <w:textAlignment w:val="center"/>
              <w:rPr>
                <w:rFonts w:ascii="宋体" w:hAnsi="宋体" w:eastAsia="宋体" w:cs="宋体"/>
                <w:color w:val="000000" w:themeColor="text1"/>
                <w:sz w:val="24"/>
                <w14:textFill>
                  <w14:solidFill>
                    <w14:schemeClr w14:val="tx1"/>
                  </w14:solidFill>
                </w14:textFill>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554B4F">
            <w:pPr>
              <w:widowControl/>
              <w:spacing w:line="480" w:lineRule="exact"/>
              <w:jc w:val="center"/>
              <w:textAlignment w:val="center"/>
              <w:rPr>
                <w:rFonts w:ascii="宋体" w:hAnsi="宋体" w:eastAsia="宋体" w:cs="宋体"/>
                <w:color w:val="000000" w:themeColor="text1"/>
                <w:sz w:val="24"/>
                <w14:textFill>
                  <w14:solidFill>
                    <w14:schemeClr w14:val="tx1"/>
                  </w14:solidFill>
                </w14:textFill>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F59361">
            <w:pPr>
              <w:widowControl/>
              <w:spacing w:line="480" w:lineRule="exact"/>
              <w:jc w:val="center"/>
              <w:textAlignment w:val="center"/>
              <w:rPr>
                <w:rFonts w:ascii="宋体" w:hAnsi="宋体" w:eastAsia="宋体" w:cs="宋体"/>
                <w:color w:val="000000" w:themeColor="text1"/>
                <w:sz w:val="24"/>
                <w14:textFill>
                  <w14:solidFill>
                    <w14:schemeClr w14:val="tx1"/>
                  </w14:solidFill>
                </w14:textFill>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C42481">
            <w:pPr>
              <w:widowControl/>
              <w:spacing w:line="480" w:lineRule="exact"/>
              <w:jc w:val="center"/>
              <w:textAlignment w:val="center"/>
              <w:rPr>
                <w:rFonts w:ascii="宋体" w:hAnsi="宋体" w:eastAsia="宋体" w:cs="宋体"/>
                <w:color w:val="000000" w:themeColor="text1"/>
                <w:sz w:val="24"/>
                <w14:textFill>
                  <w14:solidFill>
                    <w14:schemeClr w14:val="tx1"/>
                  </w14:solidFill>
                </w14:textFill>
              </w:rPr>
            </w:pPr>
          </w:p>
        </w:tc>
      </w:tr>
      <w:tr w14:paraId="09567FD9">
        <w:tblPrEx>
          <w:tblCellMar>
            <w:top w:w="0" w:type="dxa"/>
            <w:left w:w="0" w:type="dxa"/>
            <w:bottom w:w="0" w:type="dxa"/>
            <w:right w:w="0" w:type="dxa"/>
          </w:tblCellMar>
        </w:tblPrEx>
        <w:trPr>
          <w:trHeight w:val="537" w:hRule="atLeast"/>
        </w:trPr>
        <w:tc>
          <w:tcPr>
            <w:tcW w:w="24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A9983">
            <w:pPr>
              <w:widowControl/>
              <w:spacing w:line="480" w:lineRule="exact"/>
              <w:jc w:val="center"/>
              <w:textAlignment w:val="center"/>
              <w:rPr>
                <w:rFonts w:ascii="宋体" w:hAnsi="宋体" w:eastAsia="宋体" w:cs="宋体"/>
                <w:color w:val="000000" w:themeColor="text1"/>
                <w:sz w:val="24"/>
                <w14:textFill>
                  <w14:solidFill>
                    <w14:schemeClr w14:val="tx1"/>
                  </w14:solidFill>
                </w14:textFill>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497BC0">
            <w:pPr>
              <w:widowControl/>
              <w:spacing w:line="480" w:lineRule="exact"/>
              <w:jc w:val="center"/>
              <w:textAlignment w:val="center"/>
              <w:rPr>
                <w:rFonts w:ascii="宋体" w:hAnsi="宋体" w:eastAsia="宋体" w:cs="宋体"/>
                <w:color w:val="000000" w:themeColor="text1"/>
                <w:sz w:val="24"/>
                <w14:textFill>
                  <w14:solidFill>
                    <w14:schemeClr w14:val="tx1"/>
                  </w14:solidFill>
                </w14:textFill>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1B3DAE">
            <w:pPr>
              <w:widowControl/>
              <w:spacing w:line="480" w:lineRule="exact"/>
              <w:jc w:val="center"/>
              <w:textAlignment w:val="center"/>
              <w:rPr>
                <w:rFonts w:ascii="宋体" w:hAnsi="宋体" w:eastAsia="宋体" w:cs="宋体"/>
                <w:color w:val="000000" w:themeColor="text1"/>
                <w:sz w:val="24"/>
                <w14:textFill>
                  <w14:solidFill>
                    <w14:schemeClr w14:val="tx1"/>
                  </w14:solidFill>
                </w14:textFill>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D37432">
            <w:pPr>
              <w:widowControl/>
              <w:spacing w:line="480" w:lineRule="exact"/>
              <w:jc w:val="center"/>
              <w:textAlignment w:val="center"/>
              <w:rPr>
                <w:rFonts w:ascii="宋体" w:hAnsi="宋体" w:eastAsia="宋体" w:cs="宋体"/>
                <w:color w:val="000000" w:themeColor="text1"/>
                <w:sz w:val="24"/>
                <w14:textFill>
                  <w14:solidFill>
                    <w14:schemeClr w14:val="tx1"/>
                  </w14:solidFill>
                </w14:textFill>
              </w:rPr>
            </w:pPr>
          </w:p>
        </w:tc>
      </w:tr>
      <w:tr w14:paraId="15A96EF5">
        <w:tblPrEx>
          <w:tblCellMar>
            <w:top w:w="0" w:type="dxa"/>
            <w:left w:w="0" w:type="dxa"/>
            <w:bottom w:w="0" w:type="dxa"/>
            <w:right w:w="0" w:type="dxa"/>
          </w:tblCellMar>
        </w:tblPrEx>
        <w:trPr>
          <w:trHeight w:val="537" w:hRule="atLeast"/>
        </w:trPr>
        <w:tc>
          <w:tcPr>
            <w:tcW w:w="24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E52C7">
            <w:pPr>
              <w:widowControl/>
              <w:spacing w:line="480" w:lineRule="exact"/>
              <w:jc w:val="center"/>
              <w:textAlignment w:val="center"/>
              <w:rPr>
                <w:rFonts w:ascii="宋体" w:hAnsi="宋体" w:eastAsia="宋体" w:cs="宋体"/>
                <w:color w:val="000000" w:themeColor="text1"/>
                <w:sz w:val="24"/>
                <w14:textFill>
                  <w14:solidFill>
                    <w14:schemeClr w14:val="tx1"/>
                  </w14:solidFill>
                </w14:textFill>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B87208">
            <w:pPr>
              <w:widowControl/>
              <w:spacing w:line="480" w:lineRule="exact"/>
              <w:jc w:val="center"/>
              <w:textAlignment w:val="center"/>
              <w:rPr>
                <w:rFonts w:ascii="宋体" w:hAnsi="宋体" w:eastAsia="宋体" w:cs="宋体"/>
                <w:color w:val="000000" w:themeColor="text1"/>
                <w:sz w:val="24"/>
                <w14:textFill>
                  <w14:solidFill>
                    <w14:schemeClr w14:val="tx1"/>
                  </w14:solidFill>
                </w14:textFill>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25428A">
            <w:pPr>
              <w:widowControl/>
              <w:spacing w:line="480" w:lineRule="exact"/>
              <w:jc w:val="center"/>
              <w:textAlignment w:val="center"/>
              <w:rPr>
                <w:rFonts w:ascii="宋体" w:hAnsi="宋体" w:eastAsia="宋体" w:cs="宋体"/>
                <w:color w:val="000000" w:themeColor="text1"/>
                <w:sz w:val="24"/>
                <w14:textFill>
                  <w14:solidFill>
                    <w14:schemeClr w14:val="tx1"/>
                  </w14:solidFill>
                </w14:textFill>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F812D0">
            <w:pPr>
              <w:widowControl/>
              <w:spacing w:line="480" w:lineRule="exact"/>
              <w:jc w:val="center"/>
              <w:textAlignment w:val="center"/>
              <w:rPr>
                <w:rFonts w:ascii="宋体" w:hAnsi="宋体" w:eastAsia="宋体" w:cs="宋体"/>
                <w:color w:val="000000" w:themeColor="text1"/>
                <w:sz w:val="24"/>
                <w14:textFill>
                  <w14:solidFill>
                    <w14:schemeClr w14:val="tx1"/>
                  </w14:solidFill>
                </w14:textFill>
              </w:rPr>
            </w:pPr>
          </w:p>
        </w:tc>
      </w:tr>
      <w:tr w14:paraId="40D1DA90">
        <w:tblPrEx>
          <w:tblCellMar>
            <w:top w:w="0" w:type="dxa"/>
            <w:left w:w="0" w:type="dxa"/>
            <w:bottom w:w="0" w:type="dxa"/>
            <w:right w:w="0" w:type="dxa"/>
          </w:tblCellMar>
        </w:tblPrEx>
        <w:trPr>
          <w:trHeight w:val="403" w:hRule="atLeast"/>
        </w:trPr>
        <w:tc>
          <w:tcPr>
            <w:tcW w:w="24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7119A">
            <w:pPr>
              <w:widowControl/>
              <w:spacing w:line="480" w:lineRule="exact"/>
              <w:jc w:val="center"/>
              <w:textAlignment w:val="center"/>
              <w:rPr>
                <w:rFonts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租金总计</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2D7A5B">
            <w:pPr>
              <w:spacing w:line="480" w:lineRule="exact"/>
              <w:jc w:val="center"/>
              <w:rPr>
                <w:rFonts w:ascii="宋体" w:hAnsi="宋体" w:eastAsia="宋体" w:cs="宋体"/>
                <w:color w:val="000000" w:themeColor="text1"/>
                <w:sz w:val="24"/>
                <w14:textFill>
                  <w14:solidFill>
                    <w14:schemeClr w14:val="tx1"/>
                  </w14:solidFill>
                </w14:textFill>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833DB">
            <w:pPr>
              <w:spacing w:line="480" w:lineRule="exact"/>
              <w:rPr>
                <w:rFonts w:ascii="宋体" w:hAnsi="宋体" w:eastAsia="宋体" w:cs="宋体"/>
                <w:b/>
                <w:color w:val="000000" w:themeColor="text1"/>
                <w:sz w:val="24"/>
                <w14:textFill>
                  <w14:solidFill>
                    <w14:schemeClr w14:val="tx1"/>
                  </w14:solidFill>
                </w14:textFill>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727BDA">
            <w:pPr>
              <w:widowControl/>
              <w:spacing w:line="480" w:lineRule="exact"/>
              <w:jc w:val="center"/>
              <w:textAlignment w:val="center"/>
              <w:rPr>
                <w:rFonts w:ascii="宋体" w:hAnsi="宋体" w:eastAsia="宋体" w:cs="宋体"/>
                <w:color w:val="000000" w:themeColor="text1"/>
                <w:sz w:val="24"/>
                <w14:textFill>
                  <w14:solidFill>
                    <w14:schemeClr w14:val="tx1"/>
                  </w14:solidFill>
                </w14:textFill>
              </w:rPr>
            </w:pPr>
          </w:p>
        </w:tc>
      </w:tr>
    </w:tbl>
    <w:p w14:paraId="34CD91BE">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备注：上表为乙方租赁商铺租金明细表，租期共计</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年，合计租金总额为人民币</w:t>
      </w:r>
      <w:r>
        <w:rPr>
          <w:rFonts w:hint="eastAsia" w:asciiTheme="majorEastAsia" w:hAnsiTheme="majorEastAsia" w:eastAsiaTheme="majorEastAsia" w:cstheme="majorEastAsia"/>
          <w:color w:val="000000" w:themeColor="text1"/>
          <w:sz w:val="24"/>
          <w:u w:val="single"/>
          <w14:textFill>
            <w14:solidFill>
              <w14:schemeClr w14:val="tx1"/>
            </w14:solidFill>
          </w14:textFill>
        </w:rPr>
        <w:t>￥</w:t>
      </w:r>
      <w:r>
        <w:rPr>
          <w:rFonts w:asciiTheme="majorEastAsia" w:hAnsiTheme="majorEastAsia" w:eastAsiaTheme="majorEastAsia" w:cstheme="majorEastAsia"/>
          <w:color w:val="000000" w:themeColor="text1"/>
          <w:kern w:val="0"/>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元（大写</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u w:val="single"/>
          <w14:textFill>
            <w14:solidFill>
              <w14:schemeClr w14:val="tx1"/>
            </w14:solidFill>
          </w14:textFill>
        </w:rPr>
        <w:t>元</w:t>
      </w:r>
      <w:r>
        <w:rPr>
          <w:rFonts w:hint="eastAsia" w:asciiTheme="majorEastAsia" w:hAnsiTheme="majorEastAsia" w:eastAsiaTheme="majorEastAsia" w:cstheme="majorEastAsia"/>
          <w:color w:val="000000" w:themeColor="text1"/>
          <w:sz w:val="24"/>
          <w14:textFill>
            <w14:solidFill>
              <w14:schemeClr w14:val="tx1"/>
            </w14:solidFill>
          </w14:textFill>
        </w:rPr>
        <w:t>整）。</w:t>
      </w:r>
    </w:p>
    <w:p w14:paraId="21CC61CC">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3.2租金支付方式</w:t>
      </w:r>
    </w:p>
    <w:p w14:paraId="14D3395C">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3.2.1乙方应按照如下约定将租金支付甲方：租金按每</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为期支付（即一次支付12个月的租金）。乙方须在签署本合同当天交付首期租金人民币￥</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元（大写</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元整），因乙方前期已支付租金</w:t>
      </w:r>
      <w:r>
        <w:rPr>
          <w:rFonts w:hint="eastAsia" w:ascii="宋体" w:hAnsi="宋体" w:eastAsia="宋体" w:cs="宋体"/>
          <w:color w:val="000000" w:themeColor="text1"/>
          <w:sz w:val="24"/>
          <w14:textFill>
            <w14:solidFill>
              <w14:schemeClr w14:val="tx1"/>
            </w14:solidFill>
          </w14:textFill>
        </w:rPr>
        <w:t>预付款</w:t>
      </w:r>
      <w:r>
        <w:rPr>
          <w:rFonts w:hint="eastAsia" w:asciiTheme="majorEastAsia" w:hAnsiTheme="majorEastAsia" w:eastAsiaTheme="majorEastAsia" w:cstheme="majorEastAsia"/>
          <w:color w:val="000000" w:themeColor="text1"/>
          <w:sz w:val="24"/>
          <w14:textFill>
            <w14:solidFill>
              <w14:schemeClr w14:val="tx1"/>
            </w14:solidFill>
          </w14:textFill>
        </w:rPr>
        <w:t>人民币￥</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元（大写：</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元整）转为正式租金，故剩余应缴纳租金为人民币￥</w:t>
      </w:r>
      <w:r>
        <w:rPr>
          <w:rFonts w:asciiTheme="majorEastAsia" w:hAnsiTheme="majorEastAsia" w:eastAsiaTheme="majorEastAsia" w:cs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元（大写</w:t>
      </w:r>
      <w:r>
        <w:rPr>
          <w:rFonts w:hint="eastAsia" w:asciiTheme="majorEastAsia" w:hAnsiTheme="majorEastAsia" w:eastAsiaTheme="majorEastAsia" w:cstheme="majorEastAsia"/>
          <w:i/>
          <w:color w:val="000000" w:themeColor="text1"/>
          <w:sz w:val="24"/>
          <w:u w:val="single"/>
          <w14:textFill>
            <w14:solidFill>
              <w14:schemeClr w14:val="tx1"/>
            </w14:solidFill>
          </w14:textFill>
        </w:rPr>
        <w:t xml:space="preserve"> </w:t>
      </w:r>
      <w:r>
        <w:rPr>
          <w:rFonts w:asciiTheme="majorEastAsia" w:hAnsiTheme="majorEastAsia" w:eastAsiaTheme="majorEastAsia" w:cstheme="majorEastAsia"/>
          <w:i/>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元整）须在签署本合同当天交付。除首期租金外，乙方须在下一年度起始之日的一个月前交付下一期租金。</w:t>
      </w:r>
    </w:p>
    <w:p w14:paraId="300D4FAD">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3.2.2支付方式</w:t>
      </w:r>
    </w:p>
    <w:p w14:paraId="4C81A734">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乙方可以现金、银行转帐支票或银行汇款的方式向甲方支付租金，按该等方式支付的款项均以甲方银行账户实际收到款项之日为付款日。所有因执行本合同乙方付款发生的银行手续费由乙方承担。</w:t>
      </w:r>
    </w:p>
    <w:p w14:paraId="47A44FD8">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甲方指定银行帐户如下：</w:t>
      </w:r>
    </w:p>
    <w:p w14:paraId="0B5E2C7A">
      <w:pPr>
        <w:spacing w:line="480" w:lineRule="exact"/>
        <w:rPr>
          <w:rFonts w:asciiTheme="majorEastAsia" w:hAnsiTheme="majorEastAsia" w:eastAsiaTheme="majorEastAsia" w:cstheme="majorEastAsia"/>
          <w:color w:val="000000" w:themeColor="text1"/>
          <w:sz w:val="24"/>
          <w:u w:val="single"/>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开户行：</w:t>
      </w:r>
      <w:r>
        <w:rPr>
          <w:rFonts w:hint="eastAsia" w:ascii="宋体" w:hAnsi="宋体" w:eastAsia="宋体" w:cs="宋体"/>
          <w:color w:val="000000" w:themeColor="text1"/>
          <w:sz w:val="24"/>
          <w:u w:val="single"/>
          <w14:textFill>
            <w14:solidFill>
              <w14:schemeClr w14:val="tx1"/>
            </w14:solidFill>
          </w14:textFill>
        </w:rPr>
        <w:t xml:space="preserve"> </w:t>
      </w:r>
      <w:r>
        <w:rPr>
          <w:rFonts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p>
    <w:p w14:paraId="3D1E5546">
      <w:pPr>
        <w:spacing w:line="480" w:lineRule="exact"/>
        <w:rPr>
          <w:rFonts w:asciiTheme="majorEastAsia" w:hAnsiTheme="majorEastAsia" w:eastAsiaTheme="majorEastAsia" w:cstheme="majorEastAsia"/>
          <w:color w:val="000000" w:themeColor="text1"/>
          <w:sz w:val="24"/>
          <w:u w:val="single"/>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户  名：</w:t>
      </w:r>
      <w:r>
        <w:rPr>
          <w:rFonts w:hint="eastAsia" w:ascii="宋体" w:hAnsi="宋体" w:eastAsia="宋体" w:cs="宋体"/>
          <w:color w:val="000000" w:themeColor="text1"/>
          <w:sz w:val="24"/>
          <w:u w:val="single"/>
          <w14:textFill>
            <w14:solidFill>
              <w14:schemeClr w14:val="tx1"/>
            </w14:solidFill>
          </w14:textFill>
        </w:rPr>
        <w:t xml:space="preserve"> </w:t>
      </w:r>
      <w:r>
        <w:rPr>
          <w:rFonts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p>
    <w:p w14:paraId="6C7B0C13">
      <w:pPr>
        <w:spacing w:line="480" w:lineRule="exact"/>
        <w:rPr>
          <w:rFonts w:asciiTheme="majorEastAsia" w:hAnsiTheme="majorEastAsia" w:eastAsiaTheme="majorEastAsia" w:cstheme="majorEastAsia"/>
          <w:color w:val="000000" w:themeColor="text1"/>
          <w:sz w:val="24"/>
          <w:u w:val="single"/>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帐  号：</w:t>
      </w:r>
      <w:r>
        <w:rPr>
          <w:rFonts w:hint="eastAsia" w:ascii="宋体" w:hAnsi="宋体" w:eastAsia="宋体" w:cs="宋体"/>
          <w:color w:val="000000" w:themeColor="text1"/>
          <w:sz w:val="24"/>
          <w:u w:val="single"/>
          <w14:textFill>
            <w14:solidFill>
              <w14:schemeClr w14:val="tx1"/>
            </w14:solidFill>
          </w14:textFill>
        </w:rPr>
        <w:t xml:space="preserve"> </w:t>
      </w:r>
      <w:r>
        <w:rPr>
          <w:rFonts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p>
    <w:p w14:paraId="56083B4A">
      <w:pPr>
        <w:spacing w:line="480" w:lineRule="exact"/>
        <w:rPr>
          <w:rFonts w:asciiTheme="majorEastAsia" w:hAnsiTheme="majorEastAsia" w:eastAsiaTheme="majorEastAsia" w:cstheme="majorEastAsia"/>
          <w:color w:val="000000" w:themeColor="text1"/>
          <w:sz w:val="24"/>
          <w:u w:val="single"/>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税  号：</w:t>
      </w:r>
      <w:r>
        <w:rPr>
          <w:rFonts w:hint="eastAsia" w:ascii="宋体" w:hAnsi="宋体" w:eastAsia="宋体" w:cs="宋体"/>
          <w:color w:val="000000" w:themeColor="text1"/>
          <w:sz w:val="24"/>
          <w:u w:val="single"/>
          <w14:textFill>
            <w14:solidFill>
              <w14:schemeClr w14:val="tx1"/>
            </w14:solidFill>
          </w14:textFill>
        </w:rPr>
        <w:t xml:space="preserve"> </w:t>
      </w:r>
      <w:r>
        <w:rPr>
          <w:rFonts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p>
    <w:p w14:paraId="042E02CD">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地  址：</w:t>
      </w:r>
      <w:r>
        <w:rPr>
          <w:rFonts w:hint="eastAsia" w:ascii="宋体" w:hAnsi="宋体" w:eastAsia="宋体" w:cs="宋体"/>
          <w:color w:val="000000" w:themeColor="text1"/>
          <w:sz w:val="24"/>
          <w:u w:val="single"/>
          <w14:textFill>
            <w14:solidFill>
              <w14:schemeClr w14:val="tx1"/>
            </w14:solidFill>
          </w14:textFill>
        </w:rPr>
        <w:t xml:space="preserve"> </w:t>
      </w:r>
      <w:r>
        <w:rPr>
          <w:rFonts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w:t>
      </w:r>
    </w:p>
    <w:p w14:paraId="2E86D6B6">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乙方支付租金后，甲方先向乙方开具相应金额的收据。</w:t>
      </w:r>
      <w:r>
        <w:rPr>
          <w:rFonts w:hint="eastAsia" w:asciiTheme="majorEastAsia" w:hAnsiTheme="majorEastAsia" w:eastAsiaTheme="majorEastAsia"/>
          <w:color w:val="000000" w:themeColor="text1"/>
          <w:sz w:val="24"/>
          <w14:textFill>
            <w14:solidFill>
              <w14:schemeClr w14:val="tx1"/>
            </w14:solidFill>
          </w14:textFill>
        </w:rPr>
        <w:t>后期甲方开具等额正式发票给乙方，乙方凭收据换取</w:t>
      </w:r>
      <w:r>
        <w:rPr>
          <w:rFonts w:hint="eastAsia" w:asciiTheme="majorEastAsia" w:hAnsiTheme="majorEastAsia" w:eastAsiaTheme="majorEastAsia" w:cstheme="majorEastAsia"/>
          <w:color w:val="000000" w:themeColor="text1"/>
          <w:sz w:val="24"/>
          <w14:textFill>
            <w14:solidFill>
              <w14:schemeClr w14:val="tx1"/>
            </w14:solidFill>
          </w14:textFill>
        </w:rPr>
        <w:t>。</w:t>
      </w:r>
    </w:p>
    <w:p w14:paraId="5CC79B63">
      <w:pPr>
        <w:spacing w:line="480" w:lineRule="exac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第四条  滞纳金</w:t>
      </w:r>
    </w:p>
    <w:p w14:paraId="1A7381B6">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乙方拖欠租金、物业管理费以及应当向甲方支付的任何费用，每日应按照拖欠费用的</w:t>
      </w:r>
      <w:r>
        <w:rPr>
          <w:rFonts w:hint="eastAsia" w:asciiTheme="majorEastAsia" w:hAnsiTheme="majorEastAsia" w:eastAsiaTheme="majorEastAsia" w:cstheme="majorEastAsia"/>
          <w:color w:val="000000" w:themeColor="text1"/>
          <w:sz w:val="24"/>
          <w:u w:val="single"/>
          <w14:textFill>
            <w14:solidFill>
              <w14:schemeClr w14:val="tx1"/>
            </w14:solidFill>
          </w14:textFill>
        </w:rPr>
        <w:t>1%</w:t>
      </w:r>
      <w:r>
        <w:rPr>
          <w:rFonts w:hint="eastAsia" w:asciiTheme="majorEastAsia" w:hAnsiTheme="majorEastAsia" w:eastAsiaTheme="majorEastAsia" w:cstheme="majorEastAsia"/>
          <w:color w:val="000000" w:themeColor="text1"/>
          <w:sz w:val="24"/>
          <w14:textFill>
            <w14:solidFill>
              <w14:schemeClr w14:val="tx1"/>
            </w14:solidFill>
          </w14:textFill>
        </w:rPr>
        <w:t>向甲方支付违约金，从应付日至实付日止。</w:t>
      </w:r>
    </w:p>
    <w:p w14:paraId="6E9FD616">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若</w:t>
      </w:r>
      <w:r>
        <w:rPr>
          <w:rFonts w:hint="eastAsia" w:asciiTheme="majorEastAsia" w:hAnsiTheme="majorEastAsia" w:eastAsiaTheme="majorEastAsia"/>
          <w:color w:val="000000" w:themeColor="text1"/>
          <w:sz w:val="24"/>
          <w14:textFill>
            <w14:solidFill>
              <w14:schemeClr w14:val="tx1"/>
            </w14:solidFill>
          </w14:textFill>
        </w:rPr>
        <w:t>乙方逾期支付租金、物业管理费以及应当向甲方支付的任何费用超过30日，</w:t>
      </w:r>
      <w:r>
        <w:rPr>
          <w:rFonts w:asciiTheme="majorEastAsia" w:hAnsiTheme="majorEastAsia" w:eastAsiaTheme="majorEastAsia"/>
          <w:color w:val="000000" w:themeColor="text1"/>
          <w:sz w:val="24"/>
          <w14:textFill>
            <w14:solidFill>
              <w14:schemeClr w14:val="tx1"/>
            </w14:solidFill>
          </w14:textFill>
        </w:rPr>
        <w:t>甲方</w:t>
      </w:r>
      <w:r>
        <w:rPr>
          <w:rFonts w:hint="eastAsia" w:asciiTheme="majorEastAsia" w:hAnsiTheme="majorEastAsia" w:eastAsiaTheme="majorEastAsia"/>
          <w:color w:val="000000" w:themeColor="text1"/>
          <w:sz w:val="24"/>
          <w14:textFill>
            <w14:solidFill>
              <w14:schemeClr w14:val="tx1"/>
            </w14:solidFill>
          </w14:textFill>
        </w:rPr>
        <w:t>有权或者协同物业管理公司对乙方所租赁的商铺营业采取包括但不限于停水停电及其他限制性措施。</w:t>
      </w:r>
    </w:p>
    <w:p w14:paraId="178FB6DB">
      <w:pPr>
        <w:spacing w:line="480" w:lineRule="exac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第五条  续租</w:t>
      </w:r>
    </w:p>
    <w:p w14:paraId="2CFD9E0C">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5.1如果乙方愿意在租期届满后继续承租该商铺，可向甲方提出书面续租申请，但此申请须于租期终止日前六个月提出。如甲方未收到乙方的续约通知，则视为乙方放弃续租，本合同自租期终止日自行终止。前述六个月期间，甲方有权在不妨碍乙方正常使用的情况下带客户查看商铺场地，乙方应予配合。</w:t>
      </w:r>
    </w:p>
    <w:p w14:paraId="178E7363">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5.2如乙方续租，甲乙双方协商达成一致后可续租（届时物业费收费标准应按照物业公司当时的收费标准进行调整）。若乙方不再续租，乙方应按时交房，搬走动产，保留装修。</w:t>
      </w:r>
    </w:p>
    <w:p w14:paraId="7C4618EF">
      <w:pPr>
        <w:spacing w:line="480" w:lineRule="exac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第六条  进场移交</w:t>
      </w:r>
    </w:p>
    <w:p w14:paraId="37C919A3">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6.1甲、乙双方应在本合同生效当天，办理商铺移交手续。</w:t>
      </w:r>
    </w:p>
    <w:p w14:paraId="71F9F66F">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6.2</w:t>
      </w:r>
      <w:r>
        <w:rPr>
          <w:rFonts w:hint="eastAsia" w:asciiTheme="majorEastAsia" w:hAnsiTheme="majorEastAsia" w:eastAsiaTheme="majorEastAsia"/>
          <w:color w:val="000000" w:themeColor="text1"/>
          <w:sz w:val="24"/>
          <w14:textFill>
            <w14:solidFill>
              <w14:schemeClr w14:val="tx1"/>
            </w14:solidFill>
          </w14:textFill>
        </w:rPr>
        <w:t>商铺移交时，以商铺实际现状为准，甲方应满足乙方提出的符合本合同1.2条款中约定经营业态所需要的合理的用水量、用电量并安装独立的水、电表</w:t>
      </w:r>
      <w:r>
        <w:rPr>
          <w:rFonts w:hint="eastAsia" w:asciiTheme="majorEastAsia" w:hAnsiTheme="majorEastAsia" w:eastAsiaTheme="majorEastAsia" w:cstheme="majorEastAsia"/>
          <w:color w:val="000000" w:themeColor="text1"/>
          <w:sz w:val="24"/>
          <w14:textFill>
            <w14:solidFill>
              <w14:schemeClr w14:val="tx1"/>
            </w14:solidFill>
          </w14:textFill>
        </w:rPr>
        <w:t>。</w:t>
      </w:r>
    </w:p>
    <w:p w14:paraId="26AD4506">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6.3乙方进场后，甲方仍有权继续进行商铺周边环境的建设、公共区域的装修、宣传广告工作及其他改造、修缮工程。甲方无需为此而对乙方作出任何赔偿，乙方同意不干涉甲方的工作。</w:t>
      </w:r>
    </w:p>
    <w:p w14:paraId="4E726018">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6.4 在满足交付条件，但乙方无正当理由未按本合同约定办理移交手续的，视为商铺已移交完毕。</w:t>
      </w:r>
    </w:p>
    <w:p w14:paraId="139145A9">
      <w:pPr>
        <w:spacing w:line="480" w:lineRule="exac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第七条  商铺的使用</w:t>
      </w:r>
    </w:p>
    <w:p w14:paraId="1B6B7DD8">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7.1装修和改造</w:t>
      </w:r>
    </w:p>
    <w:p w14:paraId="7E90FFAB">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乙方收房后如需自行装修改造，由乙方自行承担商铺的装修或改造费用和责任，乙方在装修前需提供给甲方书面及电子版装修设计图纸，甲方有权要求乙方对不符合规定的部分进行改正。装修改造方案和施工公司必须经过甲方的审查并书面认定，但甲方并不因审查而承担任何责任。装修或改造应当遵守甲方和物业公司的相关规定。甲方或物业公司有权监督乙方的装修施工过程，并随时对不符合装修管理制度的行为加以制止并要求其改正。如果乙方拒绝改正，则甲方有权自行加以改正，由此产生的全部费用均由乙方承担。</w:t>
      </w:r>
    </w:p>
    <w:p w14:paraId="658E241C">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7.2乙方收房后的自行装修改造投入不得以任何原因冲减乙方所欠甲方费用。</w:t>
      </w:r>
    </w:p>
    <w:p w14:paraId="6DEC5330">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7.3乙方应严格遵守甲方的各项经营管理制度、各项物业管理公约和制度、以及甲方与物业公司签署的关于经营管理和物业管理的委托合同。因违反相关制度、规定和约定所遭受的处罚和应当承担的责任应由乙方自行承担。</w:t>
      </w:r>
    </w:p>
    <w:p w14:paraId="4D0C9D8B">
      <w:pPr>
        <w:autoSpaceDE w:val="0"/>
        <w:autoSpaceDN w:val="0"/>
        <w:adjustRightInd w:val="0"/>
        <w:spacing w:line="480" w:lineRule="exact"/>
        <w:jc w:val="lef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7.4乙方应在其经营范围内合理使用并爱护房屋各项设施、设备，保持商铺在租期内处于良好的使用状态。因乙方使用不当造成设施损坏或发生故障，乙方应承担由此产生的全部费用。</w:t>
      </w:r>
      <w:r>
        <w:rPr>
          <w:rFonts w:hint="eastAsia" w:asciiTheme="majorEastAsia" w:hAnsiTheme="majorEastAsia" w:eastAsiaTheme="majorEastAsia" w:cstheme="majorEastAsia"/>
          <w:color w:val="000000" w:themeColor="text1"/>
          <w:sz w:val="24"/>
          <w:lang w:val="zh-CN"/>
          <w14:textFill>
            <w14:solidFill>
              <w14:schemeClr w14:val="tx1"/>
            </w14:solidFill>
          </w14:textFill>
        </w:rPr>
        <w:t>如乙方拒不维修或拒不承担赔偿责任的，甲方可代为维修或购置新物，费用由乙方承担。</w:t>
      </w:r>
    </w:p>
    <w:p w14:paraId="20E330E6">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7.5乙方应自行为商铺内部的装修、设备和其他财产购买保险，否则应自行承担上述财产的风险。</w:t>
      </w:r>
    </w:p>
    <w:p w14:paraId="0C0A4415">
      <w:pPr>
        <w:widowControl/>
        <w:spacing w:line="480" w:lineRule="exact"/>
        <w:jc w:val="left"/>
        <w:rPr>
          <w:rFonts w:asciiTheme="majorEastAsia" w:hAnsiTheme="majorEastAsia" w:eastAsiaTheme="majorEastAsia" w:cstheme="majorEastAsia"/>
          <w:color w:val="000000" w:themeColor="text1"/>
          <w:kern w:val="0"/>
          <w:sz w:val="24"/>
          <w14:textFill>
            <w14:solidFill>
              <w14:schemeClr w14:val="tx1"/>
            </w14:solidFill>
          </w14:textFill>
        </w:rPr>
      </w:pPr>
      <w:r>
        <w:rPr>
          <w:rFonts w:hint="eastAsia" w:asciiTheme="majorEastAsia" w:hAnsiTheme="majorEastAsia" w:eastAsiaTheme="majorEastAsia" w:cstheme="majorEastAsia"/>
          <w:color w:val="000000" w:themeColor="text1"/>
          <w:kern w:val="0"/>
          <w:sz w:val="24"/>
          <w14:textFill>
            <w14:solidFill>
              <w14:schemeClr w14:val="tx1"/>
            </w14:solidFill>
          </w14:textFill>
        </w:rPr>
        <w:t>7.6未经甲方书面同意，乙方不得以任何形式将商铺分租给任何第三方。乙方擅自分租的行为无效，分租期间乙方所收租金或其他收益全部归甲方所有。甲方有权选择立即解除本合同，并要求乙方按照10.2条款的约定承担违约责任。</w:t>
      </w:r>
    </w:p>
    <w:p w14:paraId="268F0F5C">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7.7若乙方由于经营或资金困难，实在无力继续经营需要转让给第三方，须以书面形式报备甲方批准。转让后的客户须跟甲方重新签定合同，并且必须遵守本合同的各项条款约定如租期、租金、违约条款、管理规定等。同时不得改变本合同1.2条款规定的经营业态。否则甲方有权选择立即解除本合同，并要求乙方按照10.2条款的约定承担违约责任。</w:t>
      </w:r>
    </w:p>
    <w:p w14:paraId="49F7E5FE">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7.8乙方确保具备相应的营业资质（包括营业执照及税务登记证等相应证件及政府认可的资质），办理商铺经营各种必要的手续，投入正常经营所需要的设施、设备和物品。若乙方上述资质或手续不符合国家相关部门要求，而经营期间发生任何问题，所有法律及经济赔偿责任均由乙方承担。</w:t>
      </w:r>
    </w:p>
    <w:p w14:paraId="41D87BDC">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7.9乙方在经营活动中，应确保各项安全设施及安全管理到位，保证顾客、员工或第三方人身安全，如出现人身伤亡事故，乙方自行处理，概与甲方无关。</w:t>
      </w:r>
    </w:p>
    <w:p w14:paraId="2B395CEF">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7.10如因乙方原因给甲方造成损失，包括并不限于火灾、装修结构损坏等经营安全事故，均由乙方自行处理并承担法律及经济责任，概与甲方无关，因此给甲方造成有关损失的，由乙方承担赔偿责任。</w:t>
      </w:r>
    </w:p>
    <w:p w14:paraId="5786A835">
      <w:pPr>
        <w:spacing w:line="480" w:lineRule="exac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第八条  优先购买权</w:t>
      </w:r>
    </w:p>
    <w:p w14:paraId="7FE8A464">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甲方有权随时向任何第三方转让商铺，但应当事先书面通知乙方，并确保转让后乙方能继续享有本合同的所有权益，不得影响乙方使用本商铺。同时，乙方在同等条件下有权优先购买该商铺，乙方应当在收到该通知后</w:t>
      </w:r>
      <w:r>
        <w:rPr>
          <w:rFonts w:hint="eastAsia" w:asciiTheme="majorEastAsia" w:hAnsiTheme="majorEastAsia" w:eastAsiaTheme="majorEastAsia" w:cstheme="majorEastAsia"/>
          <w:color w:val="000000" w:themeColor="text1"/>
          <w:sz w:val="24"/>
          <w:u w:val="single"/>
          <w14:textFill>
            <w14:solidFill>
              <w14:schemeClr w14:val="tx1"/>
            </w14:solidFill>
          </w14:textFill>
        </w:rPr>
        <w:t>15</w:t>
      </w:r>
      <w:r>
        <w:rPr>
          <w:rFonts w:hint="eastAsia" w:asciiTheme="majorEastAsia" w:hAnsiTheme="majorEastAsia" w:eastAsiaTheme="majorEastAsia" w:cstheme="majorEastAsia"/>
          <w:color w:val="000000" w:themeColor="text1"/>
          <w:sz w:val="24"/>
          <w14:textFill>
            <w14:solidFill>
              <w14:schemeClr w14:val="tx1"/>
            </w14:solidFill>
          </w14:textFill>
        </w:rPr>
        <w:t>日内作出书面回复是否需要购买；超过该期限乙方未答复的，视为乙方放弃该商铺的优先购买权。</w:t>
      </w:r>
    </w:p>
    <w:p w14:paraId="4C518ED6">
      <w:pPr>
        <w:spacing w:line="480" w:lineRule="exac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第九条  税费</w:t>
      </w:r>
    </w:p>
    <w:p w14:paraId="19BF1F95">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甲、乙双方按照中华人民共和国法律和国家税务局税收政策各自承担应承担的部分。</w:t>
      </w:r>
    </w:p>
    <w:p w14:paraId="0796EF52">
      <w:pPr>
        <w:spacing w:line="480" w:lineRule="exac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第十条  提前解除</w:t>
      </w:r>
    </w:p>
    <w:p w14:paraId="46D217C6">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10.1除本合同另有规定外，本合同不得提前解除（包括在本合同签署后至起租日期前解除的情形）。</w:t>
      </w:r>
    </w:p>
    <w:p w14:paraId="5053D968">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10.2因乙方单方面提出解除合同或乙方违约导致合同解除的，甲方有权不返还乙方全部已付款项，甲方装修部分仍归甲方所有（具体以本合同附件二“交付标准”为准），乙方自行装修的不动产部分除可移动附着物除外，无偿交付甲方，甲方不作任何赔偿。乙方还应承担下述违约责任：</w:t>
      </w:r>
    </w:p>
    <w:p w14:paraId="414F0121">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10.2.1</w:t>
      </w:r>
      <w:r>
        <w:rPr>
          <w:rFonts w:hint="eastAsia" w:asciiTheme="majorEastAsia" w:hAnsiTheme="majorEastAsia" w:eastAsiaTheme="majorEastAsia"/>
          <w:color w:val="000000" w:themeColor="text1"/>
          <w:sz w:val="24"/>
          <w14:textFill>
            <w14:solidFill>
              <w14:schemeClr w14:val="tx1"/>
            </w14:solidFill>
          </w14:textFill>
        </w:rPr>
        <w:t>如乙方在本合同生效后六个月内要求解除本合同的，乙方应向甲方付足商铺六个月的租金，并向甲方支付相当于本合同未到期租金总额5％的违约金</w:t>
      </w:r>
      <w:r>
        <w:rPr>
          <w:rFonts w:hint="eastAsia" w:asciiTheme="majorEastAsia" w:hAnsiTheme="majorEastAsia" w:eastAsiaTheme="majorEastAsia" w:cstheme="majorEastAsia"/>
          <w:color w:val="000000" w:themeColor="text1"/>
          <w:sz w:val="24"/>
          <w14:textFill>
            <w14:solidFill>
              <w14:schemeClr w14:val="tx1"/>
            </w14:solidFill>
          </w14:textFill>
        </w:rPr>
        <w:t>。</w:t>
      </w:r>
    </w:p>
    <w:p w14:paraId="3AA7DA59">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10.2.2如乙方在本合同生效六个月后要求解除本合同的，乙方应提前三个月时间书面通知甲方，乙方还应向甲方支付相当于本合同未到期租金总额5％的违约金。</w:t>
      </w:r>
    </w:p>
    <w:p w14:paraId="025F4DB9">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10.3下述情况下，甲方有权解除本合同，本合同在甲方书面通知送达乙方之日起解除，乙方按照本合同10.2条款约定承担违约责任：</w:t>
      </w:r>
    </w:p>
    <w:p w14:paraId="7C9657EA">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10.3.1乙方拖欠任何一项应付甲方的费用超过三十日的。</w:t>
      </w:r>
    </w:p>
    <w:p w14:paraId="1656A341">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10.3.2乙方违反商铺经营或物业管理规定给甲方造成损失或其他严重违反本合同或商铺经营或物业管理规定的。</w:t>
      </w:r>
    </w:p>
    <w:p w14:paraId="354ED216">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10.3.3 法律、法规规定或者本合同约定终止的其它情形。</w:t>
      </w:r>
    </w:p>
    <w:p w14:paraId="763D337F">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10.3.4乙方擅自转租或者变更经营主体股权的。</w:t>
      </w:r>
    </w:p>
    <w:p w14:paraId="27B5CC15">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10.3.5乙方擅自变更房屋用途的。</w:t>
      </w:r>
    </w:p>
    <w:p w14:paraId="1E102595">
      <w:pPr>
        <w:spacing w:line="480" w:lineRule="exact"/>
        <w:rPr>
          <w:rFonts w:asciiTheme="majorEastAsia" w:hAnsiTheme="majorEastAsia" w:eastAsiaTheme="majorEastAsia" w:cstheme="majorEastAsia"/>
          <w:color w:val="000000" w:themeColor="text1"/>
          <w:sz w:val="24"/>
          <w:lang w:val="zh-CN"/>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10.4</w:t>
      </w:r>
      <w:r>
        <w:rPr>
          <w:rFonts w:hint="eastAsia" w:asciiTheme="majorEastAsia" w:hAnsiTheme="majorEastAsia" w:eastAsiaTheme="majorEastAsia" w:cstheme="majorEastAsia"/>
          <w:color w:val="000000" w:themeColor="text1"/>
          <w:sz w:val="24"/>
          <w:lang w:val="zh-CN"/>
          <w14:textFill>
            <w14:solidFill>
              <w14:schemeClr w14:val="tx1"/>
            </w14:solidFill>
          </w14:textFill>
        </w:rPr>
        <w:t>无论何种原因导致合同解除、终止，依附于该房屋上的固定装修无偿归甲方所有，甲方不承担任何费用，乙方不得在搬离前进行破坏，否则乙方应负相应的赔偿责任。</w:t>
      </w:r>
    </w:p>
    <w:p w14:paraId="3B2CC030">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10.5 无论何种原因导致合同解除、终止，乙方需在解除、终止之日起三日内向甲方移交房屋，逾期每日应按照本合同约定租金标准的1.5倍支付房屋占用费。同时，甲方有权协同物业管理公司有权自行采取包括但不限于停水停电等限制经营措施及自行清腾等措施，对乙方有关物品进行相应处置，并不承担任何责任，由此产生相关费用由乙方承担。</w:t>
      </w:r>
    </w:p>
    <w:p w14:paraId="3724ECBA">
      <w:pPr>
        <w:spacing w:line="480" w:lineRule="exac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第十一条  不可抗力</w:t>
      </w:r>
    </w:p>
    <w:p w14:paraId="42906D82">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如由于规划调整拆迁等政府部门因素，以及地震、台风、水灾、火灾、战争等自然灾害或其他人力不能预见或不可避免的社会事件等不可抗力原因导致所租商铺在租赁期间内不能正常使用，租期相应顺延，但如果商铺已无法继续使用，则本合同自动终止，甲、乙双方互不承担责任。</w:t>
      </w:r>
    </w:p>
    <w:p w14:paraId="3390BE26">
      <w:pPr>
        <w:spacing w:line="480" w:lineRule="exac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第十二条  适用法律和争议解决</w:t>
      </w:r>
    </w:p>
    <w:p w14:paraId="0A3DD640">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12.1本合同的签订、履行、解释、争议解决等均适用中华人民共和国法律。</w:t>
      </w:r>
    </w:p>
    <w:p w14:paraId="3EAEFF99">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12.2甲、乙双方因本合同而产生的争议应首先通过协商解决，不能协商解决的，任何一方均可提请房屋所在地人民法院起诉。判决结果对双方均具有约束力。诉讼费用、律师费用等由败诉方承担。</w:t>
      </w:r>
    </w:p>
    <w:p w14:paraId="5DF0EFFC">
      <w:pPr>
        <w:spacing w:line="480" w:lineRule="exact"/>
        <w:rPr>
          <w:rFonts w:asciiTheme="majorEastAsia" w:hAnsiTheme="majorEastAsia" w:eastAsiaTheme="majorEastAsia" w:cstheme="majorEastAsia"/>
          <w:b/>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第十三条  生效</w:t>
      </w:r>
    </w:p>
    <w:p w14:paraId="2CC60F14">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13.1本合同中关于物业管理的约定均自动成为乙方与物业公司签署的物业管理合同的条款。</w:t>
      </w:r>
    </w:p>
    <w:p w14:paraId="365F9F6D">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13.2本合同未尽事宜或者变更约定的，甲乙双方另行签订补充协议，补充协议经甲乙双方签字盖章后生效，并与本合同具有同等法律效力。</w:t>
      </w:r>
    </w:p>
    <w:p w14:paraId="429941A4">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13.3本合同经甲、乙双方授权代表签字并盖章后生效。</w:t>
      </w:r>
    </w:p>
    <w:p w14:paraId="4F82C9DD">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第十四条  补充条款</w:t>
      </w:r>
      <w:r>
        <w:rPr>
          <w:rFonts w:hint="eastAsia" w:asciiTheme="majorEastAsia" w:hAnsiTheme="majorEastAsia" w:eastAsiaTheme="majorEastAsia" w:cstheme="majorEastAsia"/>
          <w:color w:val="000000" w:themeColor="text1"/>
          <w:sz w:val="24"/>
          <w14:textFill>
            <w14:solidFill>
              <w14:schemeClr w14:val="tx1"/>
            </w14:solidFill>
          </w14:textFill>
        </w:rPr>
        <w:t>（双方有未尽事宜在本条中补充说明）</w:t>
      </w:r>
    </w:p>
    <w:p w14:paraId="07FED5B6">
      <w:pPr>
        <w:spacing w:line="480" w:lineRule="exact"/>
        <w:rPr>
          <w:rFonts w:asciiTheme="majorEastAsia" w:hAnsiTheme="majorEastAsia" w:eastAsiaTheme="majorEastAsia" w:cstheme="majorEastAsia"/>
          <w:color w:val="000000" w:themeColor="text1"/>
          <w:sz w:val="24"/>
          <w:u w:val="single"/>
          <w14:textFill>
            <w14:solidFill>
              <w14:schemeClr w14:val="tx1"/>
            </w14:solidFill>
          </w14:textFill>
        </w:rPr>
      </w:pPr>
      <w:r>
        <w:rPr>
          <w:rFonts w:hint="eastAsia" w:asciiTheme="majorEastAsia" w:hAnsiTheme="majorEastAsia" w:eastAsiaTheme="majorEastAsia" w:cstheme="majorEastAsia"/>
          <w:color w:val="000000" w:themeColor="text1"/>
          <w:sz w:val="24"/>
          <w:u w:val="single"/>
          <w14:textFill>
            <w14:solidFill>
              <w14:schemeClr w14:val="tx1"/>
            </w14:solidFill>
          </w14:textFill>
        </w:rPr>
        <w:t xml:space="preserve">   /                          </w:t>
      </w:r>
    </w:p>
    <w:p w14:paraId="14E7D9C3">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b/>
          <w:color w:val="000000" w:themeColor="text1"/>
          <w:sz w:val="24"/>
          <w14:textFill>
            <w14:solidFill>
              <w14:schemeClr w14:val="tx1"/>
            </w14:solidFill>
          </w14:textFill>
        </w:rPr>
        <w:t xml:space="preserve">第十五条  </w:t>
      </w:r>
      <w:r>
        <w:rPr>
          <w:rFonts w:hint="eastAsia" w:asciiTheme="majorEastAsia" w:hAnsiTheme="majorEastAsia" w:eastAsiaTheme="majorEastAsia" w:cstheme="majorEastAsia"/>
          <w:color w:val="000000" w:themeColor="text1"/>
          <w:sz w:val="24"/>
          <w14:textFill>
            <w14:solidFill>
              <w14:schemeClr w14:val="tx1"/>
            </w14:solidFill>
          </w14:textFill>
        </w:rPr>
        <w:t>本合同一式肆份，甲方执叁份、乙方执壹份，具同等法律效力。</w:t>
      </w:r>
    </w:p>
    <w:p w14:paraId="7FA33881">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p>
    <w:p w14:paraId="23FA60E0">
      <w:pPr>
        <w:spacing w:line="480" w:lineRule="exact"/>
        <w:rPr>
          <w:rFonts w:hint="eastAsia" w:asciiTheme="majorEastAsia" w:hAnsiTheme="majorEastAsia" w:eastAsiaTheme="majorEastAsia" w:cstheme="majorEastAsia"/>
          <w:color w:val="000000" w:themeColor="text1"/>
          <w:sz w:val="24"/>
          <w14:textFill>
            <w14:solidFill>
              <w14:schemeClr w14:val="tx1"/>
            </w14:solidFill>
          </w14:textFill>
        </w:rPr>
      </w:pPr>
    </w:p>
    <w:p w14:paraId="4B1D8C58">
      <w:pPr>
        <w:spacing w:line="480" w:lineRule="exact"/>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本合同附件一：</w:t>
      </w:r>
      <w:r>
        <w:rPr>
          <w:rFonts w:hint="eastAsia" w:asciiTheme="majorEastAsia" w:hAnsiTheme="majorEastAsia" w:eastAsiaTheme="majorEastAsia"/>
          <w:color w:val="000000" w:themeColor="text1"/>
          <w:sz w:val="24"/>
          <w14:textFill>
            <w14:solidFill>
              <w14:schemeClr w14:val="tx1"/>
            </w14:solidFill>
          </w14:textFill>
        </w:rPr>
        <w:t>交付标准</w:t>
      </w:r>
    </w:p>
    <w:p w14:paraId="63A5587E">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p>
    <w:p w14:paraId="2837B40C">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p>
    <w:p w14:paraId="4AB41588">
      <w:pPr>
        <w:spacing w:line="480" w:lineRule="exact"/>
        <w:ind w:right="480"/>
        <w:rPr>
          <w:rFonts w:hint="eastAsia" w:asciiTheme="majorEastAsia" w:hAnsiTheme="majorEastAsia" w:eastAsiaTheme="majorEastAsia" w:cstheme="majorEastAsia"/>
          <w:color w:val="000000" w:themeColor="text1"/>
          <w:sz w:val="24"/>
          <w14:textFill>
            <w14:solidFill>
              <w14:schemeClr w14:val="tx1"/>
            </w14:solidFill>
          </w14:textFill>
        </w:rPr>
      </w:pPr>
    </w:p>
    <w:p w14:paraId="7487F971">
      <w:pPr>
        <w:spacing w:line="480" w:lineRule="exact"/>
        <w:ind w:right="480"/>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甲方（盖章）：                         乙方（签章）：</w:t>
      </w:r>
    </w:p>
    <w:p w14:paraId="41F33CE8">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p>
    <w:p w14:paraId="434E77A3">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法定代表人：                           法定代表人：</w:t>
      </w:r>
    </w:p>
    <w:p w14:paraId="171A7B04">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p>
    <w:p w14:paraId="63EC2C67">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授权代表：                             授权代表：</w:t>
      </w:r>
    </w:p>
    <w:p w14:paraId="455ACF11">
      <w:pPr>
        <w:spacing w:line="480" w:lineRule="exact"/>
        <w:ind w:firstLine="5280" w:firstLineChars="2200"/>
        <w:rPr>
          <w:rFonts w:asciiTheme="majorEastAsia" w:hAnsiTheme="majorEastAsia" w:eastAsiaTheme="majorEastAsia" w:cstheme="majorEastAsia"/>
          <w:color w:val="000000" w:themeColor="text1"/>
          <w:sz w:val="24"/>
          <w14:textFill>
            <w14:solidFill>
              <w14:schemeClr w14:val="tx1"/>
            </w14:solidFill>
          </w14:textFill>
        </w:rPr>
      </w:pPr>
    </w:p>
    <w:p w14:paraId="1FF96677">
      <w:pPr>
        <w:spacing w:line="480" w:lineRule="exact"/>
        <w:jc w:val="righ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 xml:space="preserve">签约日期： </w:t>
      </w:r>
      <w:r>
        <w:rPr>
          <w:rFonts w:asciiTheme="majorEastAsia" w:hAnsiTheme="majorEastAsia" w:eastAsiaTheme="majorEastAsia" w:cstheme="majorEastAsia"/>
          <w:color w:val="000000" w:themeColor="text1"/>
          <w:sz w:val="24"/>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14:textFill>
            <w14:solidFill>
              <w14:schemeClr w14:val="tx1"/>
            </w14:solidFill>
          </w14:textFill>
        </w:rPr>
        <w:t>年   月    日</w:t>
      </w:r>
    </w:p>
    <w:p w14:paraId="2D8CDFED">
      <w:pPr>
        <w:spacing w:line="480" w:lineRule="exact"/>
        <w:rPr>
          <w:rFonts w:asciiTheme="majorEastAsia" w:hAnsiTheme="majorEastAsia" w:eastAsiaTheme="majorEastAsia" w:cstheme="majorEastAsia"/>
          <w:color w:val="000000" w:themeColor="text1"/>
          <w:sz w:val="24"/>
          <w14:textFill>
            <w14:solidFill>
              <w14:schemeClr w14:val="tx1"/>
            </w14:solidFill>
          </w14:textFill>
        </w:rPr>
      </w:pPr>
    </w:p>
    <w:p w14:paraId="722B7C20">
      <w:pPr>
        <w:pStyle w:val="2"/>
      </w:pPr>
    </w:p>
    <w:p w14:paraId="2B311A33">
      <w:pPr>
        <w:spacing w:line="480" w:lineRule="exact"/>
        <w:ind w:left="0" w:leftChars="0" w:firstLine="0" w:firstLineChars="0"/>
        <w:rPr>
          <w:rFonts w:hint="eastAsia" w:asciiTheme="majorEastAsia" w:hAnsiTheme="majorEastAsia" w:eastAsiaTheme="majorEastAsia"/>
          <w:b/>
          <w:bCs/>
          <w:color w:val="000000" w:themeColor="text1"/>
          <w:sz w:val="24"/>
          <w14:textFill>
            <w14:solidFill>
              <w14:schemeClr w14:val="tx1"/>
            </w14:solidFill>
          </w14:textFill>
        </w:rPr>
      </w:pPr>
    </w:p>
    <w:p w14:paraId="6E346F4C">
      <w:pPr>
        <w:spacing w:line="480" w:lineRule="exact"/>
        <w:ind w:left="0" w:leftChars="0" w:firstLine="0" w:firstLineChars="0"/>
        <w:rPr>
          <w:rFonts w:hint="eastAsia" w:asciiTheme="majorEastAsia" w:hAnsiTheme="majorEastAsia" w:eastAsiaTheme="majorEastAsia"/>
          <w:b/>
          <w:bCs/>
          <w:color w:val="000000" w:themeColor="text1"/>
          <w:sz w:val="24"/>
          <w14:textFill>
            <w14:solidFill>
              <w14:schemeClr w14:val="tx1"/>
            </w14:solidFill>
          </w14:textFill>
        </w:rPr>
      </w:pPr>
    </w:p>
    <w:p w14:paraId="4AE3CD2B">
      <w:pPr>
        <w:spacing w:line="480" w:lineRule="exact"/>
        <w:ind w:left="0" w:leftChars="0" w:firstLine="0" w:firstLineChars="0"/>
        <w:rPr>
          <w:rFonts w:hint="eastAsia" w:asciiTheme="majorEastAsia" w:hAnsiTheme="majorEastAsia" w:eastAsiaTheme="majorEastAsia"/>
          <w:b/>
          <w:bCs/>
          <w:color w:val="000000" w:themeColor="text1"/>
          <w:sz w:val="24"/>
          <w14:textFill>
            <w14:solidFill>
              <w14:schemeClr w14:val="tx1"/>
            </w14:solidFill>
          </w14:textFill>
        </w:rPr>
      </w:pPr>
    </w:p>
    <w:p w14:paraId="2A37455E">
      <w:pPr>
        <w:spacing w:line="480" w:lineRule="exact"/>
        <w:ind w:left="0" w:leftChars="0" w:firstLine="0" w:firstLineChars="0"/>
        <w:rPr>
          <w:rFonts w:hint="eastAsia" w:asciiTheme="majorEastAsia" w:hAnsiTheme="majorEastAsia" w:eastAsiaTheme="majorEastAsia"/>
          <w:b/>
          <w:bCs/>
          <w:color w:val="000000" w:themeColor="text1"/>
          <w:sz w:val="24"/>
          <w14:textFill>
            <w14:solidFill>
              <w14:schemeClr w14:val="tx1"/>
            </w14:solidFill>
          </w14:textFill>
        </w:rPr>
      </w:pPr>
    </w:p>
    <w:p w14:paraId="2D485A32">
      <w:pPr>
        <w:spacing w:line="480" w:lineRule="exact"/>
        <w:ind w:left="0" w:leftChars="0" w:firstLine="0" w:firstLineChars="0"/>
        <w:rPr>
          <w:rFonts w:hint="eastAsia" w:asciiTheme="majorEastAsia" w:hAnsiTheme="majorEastAsia" w:eastAsiaTheme="majorEastAsia"/>
          <w:b/>
          <w:bCs/>
          <w:color w:val="000000" w:themeColor="text1"/>
          <w:sz w:val="24"/>
          <w14:textFill>
            <w14:solidFill>
              <w14:schemeClr w14:val="tx1"/>
            </w14:solidFill>
          </w14:textFill>
        </w:rPr>
      </w:pPr>
    </w:p>
    <w:p w14:paraId="4598AFC4">
      <w:pPr>
        <w:spacing w:line="480" w:lineRule="exact"/>
        <w:ind w:left="0" w:leftChars="0" w:firstLine="0" w:firstLineChars="0"/>
        <w:rPr>
          <w:rFonts w:hint="eastAsia" w:asciiTheme="majorEastAsia" w:hAnsiTheme="majorEastAsia" w:eastAsiaTheme="majorEastAsia"/>
          <w:b/>
          <w:bCs/>
          <w:color w:val="000000" w:themeColor="text1"/>
          <w:sz w:val="24"/>
          <w14:textFill>
            <w14:solidFill>
              <w14:schemeClr w14:val="tx1"/>
            </w14:solidFill>
          </w14:textFill>
        </w:rPr>
      </w:pPr>
    </w:p>
    <w:p w14:paraId="1EDC2586">
      <w:pPr>
        <w:spacing w:line="480" w:lineRule="exact"/>
        <w:ind w:left="0" w:leftChars="0" w:firstLine="0" w:firstLineChars="0"/>
        <w:rPr>
          <w:rFonts w:hint="eastAsia" w:asciiTheme="majorEastAsia" w:hAnsiTheme="majorEastAsia" w:eastAsiaTheme="majorEastAsia"/>
          <w:b/>
          <w:bCs/>
          <w:color w:val="000000" w:themeColor="text1"/>
          <w:sz w:val="24"/>
          <w14:textFill>
            <w14:solidFill>
              <w14:schemeClr w14:val="tx1"/>
            </w14:solidFill>
          </w14:textFill>
        </w:rPr>
      </w:pPr>
    </w:p>
    <w:p w14:paraId="7F81430B">
      <w:pPr>
        <w:spacing w:line="480" w:lineRule="exact"/>
        <w:ind w:left="0" w:leftChars="0" w:firstLine="0" w:firstLineChars="0"/>
        <w:rPr>
          <w:rFonts w:hint="eastAsia" w:asciiTheme="majorEastAsia" w:hAnsiTheme="majorEastAsia" w:eastAsiaTheme="majorEastAsia"/>
          <w:b/>
          <w:bCs/>
          <w:color w:val="000000" w:themeColor="text1"/>
          <w:sz w:val="24"/>
          <w14:textFill>
            <w14:solidFill>
              <w14:schemeClr w14:val="tx1"/>
            </w14:solidFill>
          </w14:textFill>
        </w:rPr>
      </w:pPr>
    </w:p>
    <w:p w14:paraId="050C1B9A">
      <w:pPr>
        <w:spacing w:line="480" w:lineRule="exact"/>
        <w:ind w:left="0" w:leftChars="0" w:firstLine="0" w:firstLineChars="0"/>
        <w:rPr>
          <w:rFonts w:hint="eastAsia" w:asciiTheme="majorEastAsia" w:hAnsiTheme="majorEastAsia" w:eastAsiaTheme="majorEastAsia"/>
          <w:b/>
          <w:bCs/>
          <w:color w:val="000000" w:themeColor="text1"/>
          <w:sz w:val="24"/>
          <w14:textFill>
            <w14:solidFill>
              <w14:schemeClr w14:val="tx1"/>
            </w14:solidFill>
          </w14:textFill>
        </w:rPr>
      </w:pPr>
    </w:p>
    <w:p w14:paraId="2EC7DFFA">
      <w:pPr>
        <w:spacing w:line="480" w:lineRule="exact"/>
        <w:ind w:left="0" w:leftChars="0" w:firstLine="0" w:firstLineChars="0"/>
        <w:rPr>
          <w:rFonts w:hint="eastAsia" w:asciiTheme="majorEastAsia" w:hAnsiTheme="majorEastAsia" w:eastAsiaTheme="majorEastAsia"/>
          <w:b/>
          <w:bCs/>
          <w:color w:val="000000" w:themeColor="text1"/>
          <w:sz w:val="24"/>
          <w14:textFill>
            <w14:solidFill>
              <w14:schemeClr w14:val="tx1"/>
            </w14:solidFill>
          </w14:textFill>
        </w:rPr>
      </w:pPr>
    </w:p>
    <w:p w14:paraId="2D123D98">
      <w:pPr>
        <w:spacing w:line="480" w:lineRule="exact"/>
        <w:ind w:left="0" w:leftChars="0" w:firstLine="0" w:firstLineChars="0"/>
        <w:rPr>
          <w:rFonts w:hint="eastAsia" w:asciiTheme="majorEastAsia" w:hAnsiTheme="majorEastAsia" w:eastAsiaTheme="majorEastAsia"/>
          <w:b/>
          <w:bCs/>
          <w:color w:val="000000" w:themeColor="text1"/>
          <w:sz w:val="24"/>
          <w14:textFill>
            <w14:solidFill>
              <w14:schemeClr w14:val="tx1"/>
            </w14:solidFill>
          </w14:textFill>
        </w:rPr>
      </w:pPr>
    </w:p>
    <w:p w14:paraId="2C64CCA1">
      <w:pPr>
        <w:spacing w:line="480" w:lineRule="exact"/>
        <w:ind w:left="0" w:leftChars="0" w:firstLine="0" w:firstLineChars="0"/>
        <w:rPr>
          <w:rFonts w:hint="eastAsia" w:asciiTheme="majorEastAsia" w:hAnsiTheme="majorEastAsia" w:eastAsiaTheme="majorEastAsia"/>
          <w:b/>
          <w:bCs/>
          <w:color w:val="000000" w:themeColor="text1"/>
          <w:sz w:val="24"/>
          <w14:textFill>
            <w14:solidFill>
              <w14:schemeClr w14:val="tx1"/>
            </w14:solidFill>
          </w14:textFill>
        </w:rPr>
      </w:pPr>
    </w:p>
    <w:p w14:paraId="27E6453E">
      <w:pPr>
        <w:spacing w:line="480" w:lineRule="exact"/>
        <w:ind w:left="0" w:leftChars="0" w:firstLine="0" w:firstLineChars="0"/>
        <w:rPr>
          <w:rFonts w:asciiTheme="majorEastAsia" w:hAnsiTheme="majorEastAsia" w:eastAsiaTheme="majorEastAsia"/>
          <w:b/>
          <w:bCs/>
          <w:color w:val="000000" w:themeColor="text1"/>
          <w:sz w:val="24"/>
          <w14:textFill>
            <w14:solidFill>
              <w14:schemeClr w14:val="tx1"/>
            </w14:solidFill>
          </w14:textFill>
        </w:rPr>
      </w:pPr>
      <w:r>
        <w:rPr>
          <w:rFonts w:hint="eastAsia" w:asciiTheme="majorEastAsia" w:hAnsiTheme="majorEastAsia" w:eastAsiaTheme="majorEastAsia"/>
          <w:b/>
          <w:bCs/>
          <w:color w:val="000000" w:themeColor="text1"/>
          <w:sz w:val="24"/>
          <w14:textFill>
            <w14:solidFill>
              <w14:schemeClr w14:val="tx1"/>
            </w14:solidFill>
          </w14:textFill>
        </w:rPr>
        <w:t>附件一：交付标准</w:t>
      </w:r>
    </w:p>
    <w:p w14:paraId="05D10B34">
      <w:pPr>
        <w:numPr>
          <w:ilvl w:val="255"/>
          <w:numId w:val="0"/>
        </w:numPr>
        <w:spacing w:line="480" w:lineRule="exact"/>
        <w:jc w:val="left"/>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1、双方装修工程范围：</w:t>
      </w:r>
    </w:p>
    <w:p w14:paraId="6DCF25C4">
      <w:pPr>
        <w:numPr>
          <w:ilvl w:val="255"/>
          <w:numId w:val="0"/>
        </w:numPr>
        <w:spacing w:line="480" w:lineRule="exact"/>
        <w:jc w:val="left"/>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甲方负责：消防系统改造、室内装修、空调及新风系统、弱电系统综合布线。</w:t>
      </w:r>
    </w:p>
    <w:p w14:paraId="482B61EE">
      <w:pPr>
        <w:numPr>
          <w:ilvl w:val="255"/>
          <w:numId w:val="0"/>
        </w:numPr>
        <w:spacing w:line="480" w:lineRule="exact"/>
        <w:jc w:val="left"/>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乙方负责：室内活动家具、弱电主机及末端设备。</w:t>
      </w:r>
    </w:p>
    <w:p w14:paraId="73328F05">
      <w:pPr>
        <w:numPr>
          <w:ilvl w:val="255"/>
          <w:numId w:val="0"/>
        </w:numPr>
        <w:spacing w:line="480" w:lineRule="exact"/>
        <w:jc w:val="left"/>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2、甲方商铺交付标准：</w:t>
      </w:r>
    </w:p>
    <w:p w14:paraId="718DBFA9">
      <w:pPr>
        <w:numPr>
          <w:ilvl w:val="255"/>
          <w:numId w:val="0"/>
        </w:numPr>
        <w:spacing w:line="480" w:lineRule="exact"/>
        <w:jc w:val="left"/>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（1）消防：喷淋、烟感、排烟、火灾报警系统改造。</w:t>
      </w:r>
    </w:p>
    <w:p w14:paraId="1C2E8EBF">
      <w:pPr>
        <w:numPr>
          <w:ilvl w:val="255"/>
          <w:numId w:val="0"/>
        </w:numPr>
        <w:spacing w:line="480" w:lineRule="exact"/>
        <w:jc w:val="left"/>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（2）装修：</w:t>
      </w:r>
    </w:p>
    <w:p w14:paraId="323D03C9">
      <w:pPr>
        <w:numPr>
          <w:ilvl w:val="255"/>
          <w:numId w:val="0"/>
        </w:numPr>
        <w:spacing w:line="480" w:lineRule="exact"/>
        <w:jc w:val="left"/>
        <w:rPr>
          <w:rFonts w:hint="eastAsia"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室内装修：地面瓷砖；办公区、接待室及后勤用房矿棉板吊顶，法庭及公共区域石膏板吊顶刷白色乳胶漆，卫生间铝扣板吊顶；办公区玻璃隔墙，其他区域轻钢龙骨石膏板隔墙；室内木门安装；文件柜、更衣柜制作安装。</w:t>
      </w:r>
    </w:p>
    <w:p w14:paraId="4EF36DD2">
      <w:pPr>
        <w:numPr>
          <w:ilvl w:val="255"/>
          <w:numId w:val="0"/>
        </w:numPr>
        <w:spacing w:line="480" w:lineRule="exact"/>
        <w:jc w:val="left"/>
        <w:rPr>
          <w:rFonts w:hint="eastAsia"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电气设备：室内强电改造，照明灯具、开关插座安装；卫生间洁具、热水器安装。</w:t>
      </w:r>
    </w:p>
    <w:p w14:paraId="16E09AD0">
      <w:pPr>
        <w:numPr>
          <w:ilvl w:val="255"/>
          <w:numId w:val="0"/>
        </w:numPr>
        <w:spacing w:line="480" w:lineRule="exact"/>
        <w:jc w:val="left"/>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（3）空调：国产品牌多联机空调安装，新风系统安装。</w:t>
      </w:r>
    </w:p>
    <w:p w14:paraId="5B796294">
      <w:pPr>
        <w:spacing w:line="480" w:lineRule="exact"/>
        <w:ind w:left="0" w:leftChars="0" w:firstLine="0" w:firstLineChars="0"/>
        <w:jc w:val="left"/>
        <w:rPr>
          <w:rFonts w:hint="eastAsia"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（4）弱电：完成弱电综合布线，不含设备主机及末端。</w:t>
      </w:r>
    </w:p>
    <w:p w14:paraId="3428EEE8">
      <w:pPr>
        <w:pStyle w:val="2"/>
        <w:rPr>
          <w:rFonts w:hint="eastAsia"/>
        </w:rPr>
      </w:pPr>
    </w:p>
    <w:p w14:paraId="161E5D0D">
      <w:pPr>
        <w:pStyle w:val="2"/>
        <w:ind w:left="0" w:leftChars="0" w:firstLine="560" w:firstLineChars="200"/>
        <w:rPr>
          <w:rFonts w:hint="eastAsia"/>
        </w:rPr>
      </w:pPr>
    </w:p>
    <w:p w14:paraId="41C90C8C">
      <w:pPr>
        <w:pStyle w:val="2"/>
        <w:ind w:left="0" w:leftChars="0" w:firstLine="560" w:firstLineChars="200"/>
        <w:rPr>
          <w:rFonts w:hint="eastAsia"/>
        </w:rPr>
      </w:pPr>
    </w:p>
    <w:p w14:paraId="5038951D">
      <w:pPr>
        <w:pStyle w:val="2"/>
        <w:ind w:left="0" w:leftChars="0" w:firstLine="560" w:firstLineChars="200"/>
        <w:rPr>
          <w:rFonts w:hint="eastAsia"/>
        </w:rPr>
      </w:pPr>
    </w:p>
    <w:p w14:paraId="544D9A6A">
      <w:pPr>
        <w:pStyle w:val="2"/>
        <w:ind w:left="0" w:leftChars="0" w:firstLine="560" w:firstLineChars="200"/>
        <w:rPr>
          <w:rFonts w:hint="eastAsia"/>
        </w:rPr>
      </w:pPr>
    </w:p>
    <w:p w14:paraId="18F9DC1F">
      <w:pPr>
        <w:pStyle w:val="2"/>
        <w:ind w:left="0" w:leftChars="0" w:firstLine="560" w:firstLineChars="200"/>
        <w:rPr>
          <w:rFonts w:hint="eastAsia"/>
        </w:rPr>
      </w:pPr>
    </w:p>
    <w:p w14:paraId="76AACF0E">
      <w:pPr>
        <w:pStyle w:val="2"/>
        <w:ind w:left="0" w:leftChars="0" w:firstLine="560" w:firstLineChars="200"/>
        <w:rPr>
          <w:rFonts w:hint="eastAsia"/>
        </w:rPr>
      </w:pPr>
    </w:p>
    <w:p w14:paraId="0B6875C1">
      <w:pPr>
        <w:pStyle w:val="2"/>
        <w:ind w:left="0" w:leftChars="0" w:firstLine="560" w:firstLineChars="200"/>
        <w:rPr>
          <w:rFonts w:hint="eastAsia"/>
        </w:rPr>
      </w:pPr>
    </w:p>
    <w:p w14:paraId="46B488F8">
      <w:pPr>
        <w:pStyle w:val="2"/>
        <w:ind w:left="0" w:leftChars="0" w:firstLine="560" w:firstLineChars="200"/>
        <w:rPr>
          <w:rFonts w:hint="eastAsia"/>
        </w:rPr>
      </w:pPr>
    </w:p>
    <w:p w14:paraId="02385E8B">
      <w:pPr>
        <w:pStyle w:val="2"/>
        <w:ind w:left="0" w:leftChars="0" w:firstLine="560" w:firstLineChars="200"/>
        <w:rPr>
          <w:rFonts w:hint="eastAsia"/>
        </w:rPr>
      </w:pPr>
    </w:p>
    <w:p w14:paraId="42CB0826">
      <w:pPr>
        <w:pStyle w:val="2"/>
        <w:ind w:left="0" w:leftChars="0" w:firstLine="560" w:firstLineChars="200"/>
        <w:rPr>
          <w:rFonts w:hint="eastAsia"/>
        </w:rPr>
      </w:pPr>
    </w:p>
    <w:p w14:paraId="24CAE895">
      <w:pPr>
        <w:pStyle w:val="2"/>
        <w:ind w:left="0" w:leftChars="0" w:firstLine="560" w:firstLineChars="200"/>
        <w:rPr>
          <w:rFonts w:hint="eastAsia"/>
        </w:rPr>
      </w:pPr>
    </w:p>
    <w:p w14:paraId="522FE37D">
      <w:pPr>
        <w:pStyle w:val="2"/>
        <w:ind w:left="0" w:leftChars="0" w:firstLine="0" w:firstLineChars="0"/>
        <w:rPr>
          <w:rFonts w:hint="eastAsia" w:ascii="宋体" w:hAnsi="宋体" w:eastAsia="宋体" w:cs="宋体"/>
          <w:sz w:val="24"/>
          <w:szCs w:val="22"/>
        </w:rPr>
      </w:pPr>
      <w:r>
        <w:rPr>
          <w:rFonts w:hint="eastAsia" w:ascii="宋体" w:hAnsi="宋体" w:eastAsia="宋体" w:cs="宋体"/>
          <w:sz w:val="24"/>
          <w:szCs w:val="22"/>
        </w:rPr>
        <w:t xml:space="preserve">附件二： </w:t>
      </w:r>
    </w:p>
    <w:p w14:paraId="5EE36B49">
      <w:pPr>
        <w:pStyle w:val="2"/>
        <w:jc w:val="center"/>
        <w:rPr>
          <w:rFonts w:hint="eastAsia" w:ascii="宋体" w:hAnsi="宋体" w:eastAsia="宋体" w:cs="宋体"/>
          <w:sz w:val="24"/>
          <w:szCs w:val="22"/>
        </w:rPr>
      </w:pPr>
      <w:r>
        <w:rPr>
          <w:rFonts w:hint="eastAsia" w:ascii="宋体" w:hAnsi="宋体" w:eastAsia="宋体" w:cs="宋体"/>
          <w:sz w:val="24"/>
          <w:szCs w:val="22"/>
        </w:rPr>
        <w:t>政府采购履约担保函（项目用）</w:t>
      </w:r>
    </w:p>
    <w:p w14:paraId="0D39BFC3">
      <w:pPr>
        <w:pStyle w:val="2"/>
        <w:rPr>
          <w:rFonts w:hint="eastAsia" w:ascii="宋体" w:hAnsi="宋体" w:eastAsia="宋体" w:cs="宋体"/>
          <w:sz w:val="24"/>
          <w:szCs w:val="22"/>
        </w:rPr>
      </w:pPr>
      <w:r>
        <w:rPr>
          <w:rFonts w:hint="eastAsia" w:ascii="宋体" w:hAnsi="宋体" w:eastAsia="宋体" w:cs="宋体"/>
          <w:sz w:val="24"/>
          <w:szCs w:val="22"/>
        </w:rPr>
        <w:t xml:space="preserve"> 编号： </w:t>
      </w:r>
    </w:p>
    <w:p w14:paraId="7078B6F0">
      <w:pPr>
        <w:pStyle w:val="2"/>
        <w:rPr>
          <w:rFonts w:hint="eastAsia" w:ascii="宋体" w:hAnsi="宋体" w:eastAsia="宋体" w:cs="宋体"/>
          <w:sz w:val="24"/>
          <w:szCs w:val="22"/>
        </w:rPr>
      </w:pPr>
      <w:r>
        <w:rPr>
          <w:rFonts w:hint="eastAsia" w:ascii="宋体" w:hAnsi="宋体" w:eastAsia="宋体" w:cs="宋体"/>
          <w:sz w:val="24"/>
          <w:szCs w:val="22"/>
        </w:rPr>
        <w:t xml:space="preserve">（采购人）： </w:t>
      </w:r>
    </w:p>
    <w:p w14:paraId="7677CDF7">
      <w:pPr>
        <w:pStyle w:val="2"/>
        <w:ind w:left="0" w:leftChars="0" w:firstLine="480" w:firstLineChars="200"/>
        <w:rPr>
          <w:rFonts w:hint="eastAsia" w:ascii="宋体" w:hAnsi="宋体" w:eastAsia="宋体" w:cs="宋体"/>
          <w:sz w:val="24"/>
          <w:szCs w:val="22"/>
        </w:rPr>
      </w:pPr>
      <w:r>
        <w:rPr>
          <w:rFonts w:hint="eastAsia" w:ascii="宋体" w:hAnsi="宋体" w:eastAsia="宋体" w:cs="宋体"/>
          <w:sz w:val="24"/>
          <w:szCs w:val="22"/>
        </w:rPr>
        <w:t xml:space="preserve">鉴于你方与          （以下简称谈判供应商）于   年  月  日签定编号为     的《                政府采购合同》（以下简称主合同），且依据该合同的约定，谈判供应商应在    年  月  日前向你方交纳履约保证金，且可以履约担保函的形式交纳履约保证金。应谈判供应商的申请，我方以保证的方式向你方提供如下履约保证金担保： </w:t>
      </w:r>
    </w:p>
    <w:p w14:paraId="4AB3D7F7">
      <w:pPr>
        <w:pStyle w:val="2"/>
        <w:ind w:left="0" w:leftChars="0" w:firstLine="0" w:firstLineChars="0"/>
        <w:rPr>
          <w:rFonts w:hint="eastAsia" w:ascii="宋体" w:hAnsi="宋体" w:eastAsia="宋体" w:cs="宋体"/>
          <w:sz w:val="24"/>
          <w:szCs w:val="22"/>
        </w:rPr>
      </w:pPr>
      <w:r>
        <w:rPr>
          <w:rFonts w:hint="eastAsia" w:ascii="宋体" w:hAnsi="宋体" w:eastAsia="宋体" w:cs="宋体"/>
          <w:sz w:val="24"/>
          <w:szCs w:val="22"/>
        </w:rPr>
        <w:t xml:space="preserve"> 一、保证责任的情形及保证金额 </w:t>
      </w:r>
    </w:p>
    <w:p w14:paraId="33D4A39F">
      <w:pPr>
        <w:pStyle w:val="2"/>
        <w:rPr>
          <w:rFonts w:hint="eastAsia" w:ascii="宋体" w:hAnsi="宋体" w:eastAsia="宋体" w:cs="宋体"/>
          <w:sz w:val="24"/>
          <w:szCs w:val="22"/>
        </w:rPr>
      </w:pPr>
      <w:r>
        <w:rPr>
          <w:rFonts w:hint="eastAsia" w:ascii="宋体" w:hAnsi="宋体" w:eastAsia="宋体" w:cs="宋体"/>
          <w:sz w:val="24"/>
          <w:szCs w:val="22"/>
        </w:rPr>
        <w:t xml:space="preserve">（一）在谈判供应商出现下列情形之一时，我方承担保证责任： </w:t>
      </w:r>
    </w:p>
    <w:p w14:paraId="3E168524">
      <w:pPr>
        <w:pStyle w:val="2"/>
        <w:rPr>
          <w:rFonts w:hint="eastAsia" w:ascii="宋体" w:hAnsi="宋体" w:eastAsia="宋体" w:cs="宋体"/>
          <w:sz w:val="24"/>
          <w:szCs w:val="22"/>
        </w:rPr>
      </w:pPr>
      <w:r>
        <w:rPr>
          <w:rFonts w:hint="eastAsia" w:ascii="宋体" w:hAnsi="宋体" w:eastAsia="宋体" w:cs="宋体"/>
          <w:sz w:val="24"/>
          <w:szCs w:val="22"/>
        </w:rPr>
        <w:t xml:space="preserve">1．将中标项目转让给他人，或者在谈判响应文件中未说明，且未经采购招标机构人同意，将中标项目分包给他人的； </w:t>
      </w:r>
    </w:p>
    <w:p w14:paraId="7D7ACEDB">
      <w:pPr>
        <w:pStyle w:val="2"/>
        <w:rPr>
          <w:rFonts w:hint="eastAsia" w:ascii="宋体" w:hAnsi="宋体" w:eastAsia="宋体" w:cs="宋体"/>
          <w:sz w:val="24"/>
          <w:szCs w:val="22"/>
        </w:rPr>
      </w:pPr>
      <w:r>
        <w:rPr>
          <w:rFonts w:hint="eastAsia" w:ascii="宋体" w:hAnsi="宋体" w:eastAsia="宋体" w:cs="宋体"/>
          <w:sz w:val="24"/>
          <w:szCs w:val="22"/>
        </w:rPr>
        <w:t xml:space="preserve">2．主合同约定的应当缴纳履约保证金的情形: </w:t>
      </w:r>
    </w:p>
    <w:p w14:paraId="5C42679C">
      <w:pPr>
        <w:pStyle w:val="2"/>
        <w:rPr>
          <w:rFonts w:hint="eastAsia" w:ascii="宋体" w:hAnsi="宋体" w:eastAsia="宋体" w:cs="宋体"/>
          <w:sz w:val="24"/>
          <w:szCs w:val="22"/>
        </w:rPr>
      </w:pPr>
      <w:r>
        <w:rPr>
          <w:rFonts w:hint="eastAsia" w:ascii="宋体" w:hAnsi="宋体" w:eastAsia="宋体" w:cs="宋体"/>
          <w:sz w:val="24"/>
          <w:szCs w:val="22"/>
        </w:rPr>
        <w:t>（1）未按主合同约定的质量、数量和期限供应货物/提供服务/完成工程的；</w:t>
      </w:r>
    </w:p>
    <w:p w14:paraId="30E3463E">
      <w:pPr>
        <w:pStyle w:val="2"/>
        <w:rPr>
          <w:rFonts w:hint="eastAsia" w:ascii="宋体" w:hAnsi="宋体" w:eastAsia="宋体" w:cs="宋体"/>
          <w:sz w:val="24"/>
          <w:szCs w:val="22"/>
        </w:rPr>
      </w:pPr>
      <w:r>
        <w:rPr>
          <w:rFonts w:hint="eastAsia" w:ascii="宋体" w:hAnsi="宋体" w:eastAsia="宋体" w:cs="宋体"/>
          <w:sz w:val="24"/>
          <w:szCs w:val="22"/>
        </w:rPr>
        <w:t>（2）其他                     。</w:t>
      </w:r>
    </w:p>
    <w:p w14:paraId="2A2E2039">
      <w:pPr>
        <w:pStyle w:val="2"/>
        <w:ind w:left="0" w:leftChars="0" w:firstLine="240" w:firstLineChars="100"/>
        <w:rPr>
          <w:rFonts w:hint="eastAsia" w:ascii="宋体" w:hAnsi="宋体" w:eastAsia="宋体" w:cs="宋体"/>
          <w:sz w:val="24"/>
          <w:szCs w:val="22"/>
        </w:rPr>
      </w:pPr>
      <w:r>
        <w:rPr>
          <w:rFonts w:hint="eastAsia" w:ascii="宋体" w:hAnsi="宋体" w:eastAsia="宋体" w:cs="宋体"/>
          <w:sz w:val="24"/>
          <w:szCs w:val="22"/>
        </w:rPr>
        <w:t xml:space="preserve"> （二）我方的保证范围是主合同约定的合同价款总数额的____%，数额为         元（大写           ），币种为        。（即主合同履约保证金金额） </w:t>
      </w:r>
    </w:p>
    <w:p w14:paraId="3DBF721A">
      <w:pPr>
        <w:pStyle w:val="2"/>
        <w:ind w:left="0" w:leftChars="0" w:firstLine="0" w:firstLineChars="0"/>
        <w:rPr>
          <w:rFonts w:hint="eastAsia" w:ascii="宋体" w:hAnsi="宋体" w:eastAsia="宋体" w:cs="宋体"/>
          <w:sz w:val="24"/>
          <w:szCs w:val="22"/>
        </w:rPr>
      </w:pPr>
      <w:r>
        <w:rPr>
          <w:rFonts w:hint="eastAsia" w:ascii="宋体" w:hAnsi="宋体" w:eastAsia="宋体" w:cs="宋体"/>
          <w:sz w:val="24"/>
          <w:szCs w:val="22"/>
        </w:rPr>
        <w:t xml:space="preserve">二、保证的方式及保证期间 </w:t>
      </w:r>
    </w:p>
    <w:p w14:paraId="1CA9EC9E">
      <w:pPr>
        <w:pStyle w:val="2"/>
        <w:rPr>
          <w:rFonts w:hint="eastAsia" w:ascii="宋体" w:hAnsi="宋体" w:eastAsia="宋体" w:cs="宋体"/>
          <w:sz w:val="24"/>
          <w:szCs w:val="22"/>
        </w:rPr>
      </w:pPr>
      <w:r>
        <w:rPr>
          <w:rFonts w:hint="eastAsia" w:ascii="宋体" w:hAnsi="宋体" w:eastAsia="宋体" w:cs="宋体"/>
          <w:sz w:val="24"/>
          <w:szCs w:val="22"/>
        </w:rPr>
        <w:t xml:space="preserve">我方保证的方式为：连带责任保证。 </w:t>
      </w:r>
    </w:p>
    <w:p w14:paraId="7A1C00C4">
      <w:pPr>
        <w:pStyle w:val="2"/>
        <w:rPr>
          <w:rFonts w:hint="eastAsia" w:ascii="宋体" w:hAnsi="宋体" w:eastAsia="宋体" w:cs="宋体"/>
          <w:sz w:val="24"/>
          <w:szCs w:val="22"/>
        </w:rPr>
      </w:pPr>
      <w:r>
        <w:rPr>
          <w:rFonts w:hint="eastAsia" w:ascii="宋体" w:hAnsi="宋体" w:eastAsia="宋体" w:cs="宋体"/>
          <w:sz w:val="24"/>
          <w:szCs w:val="22"/>
        </w:rPr>
        <w:t xml:space="preserve">我方保证的期间为：自本合同生效之日起至谈判供应商按照主合同约定的供货/完工期限届满后     日内。 </w:t>
      </w:r>
    </w:p>
    <w:p w14:paraId="0C18CA48">
      <w:pPr>
        <w:pStyle w:val="2"/>
        <w:rPr>
          <w:rFonts w:hint="eastAsia" w:ascii="宋体" w:hAnsi="宋体" w:eastAsia="宋体" w:cs="宋体"/>
          <w:sz w:val="24"/>
          <w:szCs w:val="22"/>
        </w:rPr>
      </w:pPr>
      <w:r>
        <w:rPr>
          <w:rFonts w:hint="eastAsia" w:ascii="宋体" w:hAnsi="宋体" w:eastAsia="宋体" w:cs="宋体"/>
          <w:sz w:val="24"/>
          <w:szCs w:val="22"/>
        </w:rPr>
        <w:t xml:space="preserve">如果谈判供应商未按主合同约定向贵方供应货物/提供服务/完成工程的，由我方在保证金额内向你方支付上述款项。 </w:t>
      </w:r>
    </w:p>
    <w:p w14:paraId="5BDF9CA4">
      <w:pPr>
        <w:pStyle w:val="2"/>
        <w:ind w:left="0" w:leftChars="0" w:firstLine="0" w:firstLineChars="0"/>
        <w:rPr>
          <w:rFonts w:hint="eastAsia" w:ascii="宋体" w:hAnsi="宋体" w:eastAsia="宋体" w:cs="宋体"/>
          <w:sz w:val="24"/>
          <w:szCs w:val="22"/>
        </w:rPr>
      </w:pPr>
      <w:r>
        <w:rPr>
          <w:rFonts w:hint="eastAsia" w:ascii="宋体" w:hAnsi="宋体" w:eastAsia="宋体" w:cs="宋体"/>
          <w:sz w:val="24"/>
          <w:szCs w:val="22"/>
        </w:rPr>
        <w:t xml:space="preserve">三、承担保证责任的程序 </w:t>
      </w:r>
    </w:p>
    <w:p w14:paraId="2A214D37">
      <w:pPr>
        <w:pStyle w:val="2"/>
        <w:rPr>
          <w:rFonts w:hint="eastAsia" w:ascii="宋体" w:hAnsi="宋体" w:eastAsia="宋体" w:cs="宋体"/>
          <w:sz w:val="24"/>
          <w:szCs w:val="22"/>
        </w:rPr>
      </w:pPr>
      <w:r>
        <w:rPr>
          <w:rFonts w:hint="eastAsia" w:ascii="宋体" w:hAnsi="宋体" w:eastAsia="宋体" w:cs="宋体"/>
          <w:sz w:val="24"/>
          <w:szCs w:val="22"/>
        </w:rPr>
        <w:t xml:space="preserve">1．你方要求我方承担保证责任的，应在本保函保证期间内向我方发出书面索赔通知。索赔通知应写明要求索赔的金额，支付款项应到达的帐号。并附有证明谈判供应商违约事实的证明材料。 </w:t>
      </w:r>
    </w:p>
    <w:p w14:paraId="15A99272">
      <w:pPr>
        <w:pStyle w:val="2"/>
        <w:rPr>
          <w:rFonts w:hint="eastAsia" w:ascii="宋体" w:hAnsi="宋体" w:eastAsia="宋体" w:cs="宋体"/>
          <w:sz w:val="24"/>
          <w:szCs w:val="22"/>
        </w:rPr>
      </w:pPr>
      <w:r>
        <w:rPr>
          <w:rFonts w:hint="eastAsia" w:ascii="宋体" w:hAnsi="宋体" w:eastAsia="宋体" w:cs="宋体"/>
          <w:sz w:val="24"/>
          <w:szCs w:val="22"/>
        </w:rPr>
        <w:t xml:space="preserve">如果你方与谈判供应商因货物质量问题产生争议，你方还需同时提供                部门出具的质量检测报告，或经诉讼（仲裁）程序裁决后的裁决书、调解书，本保证人即按照检测结果或裁决书、调解书决定是否承担保证责任。 </w:t>
      </w:r>
    </w:p>
    <w:p w14:paraId="267F45A7">
      <w:pPr>
        <w:pStyle w:val="2"/>
        <w:rPr>
          <w:rFonts w:hint="eastAsia" w:ascii="宋体" w:hAnsi="宋体" w:eastAsia="宋体" w:cs="宋体"/>
          <w:sz w:val="24"/>
          <w:szCs w:val="22"/>
        </w:rPr>
      </w:pPr>
      <w:r>
        <w:rPr>
          <w:rFonts w:hint="eastAsia" w:ascii="宋体" w:hAnsi="宋体" w:eastAsia="宋体" w:cs="宋体"/>
          <w:sz w:val="24"/>
          <w:szCs w:val="22"/>
        </w:rPr>
        <w:t xml:space="preserve">2．我方收到你方的书面索赔通知及相应证明材料后，在  工作日内进行核定后按照本保函的承诺承担保证责任。 </w:t>
      </w:r>
    </w:p>
    <w:p w14:paraId="1F401D70">
      <w:pPr>
        <w:pStyle w:val="2"/>
        <w:ind w:left="0" w:leftChars="0" w:firstLine="0" w:firstLineChars="0"/>
        <w:rPr>
          <w:rFonts w:hint="eastAsia" w:ascii="宋体" w:hAnsi="宋体" w:eastAsia="宋体" w:cs="宋体"/>
          <w:sz w:val="24"/>
          <w:szCs w:val="22"/>
        </w:rPr>
      </w:pPr>
      <w:r>
        <w:rPr>
          <w:rFonts w:hint="eastAsia" w:ascii="宋体" w:hAnsi="宋体" w:eastAsia="宋体" w:cs="宋体"/>
          <w:sz w:val="24"/>
          <w:szCs w:val="22"/>
        </w:rPr>
        <w:t xml:space="preserve">四、保证责任的终止 </w:t>
      </w:r>
    </w:p>
    <w:p w14:paraId="260B29F3">
      <w:pPr>
        <w:pStyle w:val="2"/>
        <w:rPr>
          <w:rFonts w:hint="eastAsia" w:ascii="宋体" w:hAnsi="宋体" w:eastAsia="宋体" w:cs="宋体"/>
          <w:sz w:val="24"/>
          <w:szCs w:val="22"/>
        </w:rPr>
      </w:pPr>
      <w:r>
        <w:rPr>
          <w:rFonts w:hint="eastAsia" w:ascii="宋体" w:hAnsi="宋体" w:eastAsia="宋体" w:cs="宋体"/>
          <w:sz w:val="24"/>
          <w:szCs w:val="22"/>
        </w:rPr>
        <w:t xml:space="preserve">1．保证期间届满你方未向我方书面主张保证责任的，自保证期间届满次日起，我方保证责任自动终止。保证期间届满前，主合同约定的货物\工程\服务全部验收合格的，自验收合格日起，我方保证责任自动终止。 </w:t>
      </w:r>
    </w:p>
    <w:p w14:paraId="341CAA53">
      <w:pPr>
        <w:pStyle w:val="2"/>
        <w:rPr>
          <w:rFonts w:hint="eastAsia" w:ascii="宋体" w:hAnsi="宋体" w:eastAsia="宋体" w:cs="宋体"/>
          <w:sz w:val="24"/>
          <w:szCs w:val="22"/>
        </w:rPr>
      </w:pPr>
      <w:r>
        <w:rPr>
          <w:rFonts w:hint="eastAsia" w:ascii="宋体" w:hAnsi="宋体" w:eastAsia="宋体" w:cs="宋体"/>
          <w:sz w:val="24"/>
          <w:szCs w:val="22"/>
        </w:rPr>
        <w:t xml:space="preserve">2．我方按照本保函向你方履行了保证责任后，自我方向你方支付款项（支付款项从我方账户划出）之日起，保证责任即终止。 </w:t>
      </w:r>
    </w:p>
    <w:p w14:paraId="3D0F644F">
      <w:pPr>
        <w:pStyle w:val="2"/>
        <w:rPr>
          <w:rFonts w:hint="eastAsia" w:ascii="宋体" w:hAnsi="宋体" w:eastAsia="宋体" w:cs="宋体"/>
          <w:sz w:val="24"/>
          <w:szCs w:val="22"/>
        </w:rPr>
      </w:pPr>
      <w:r>
        <w:rPr>
          <w:rFonts w:hint="eastAsia" w:ascii="宋体" w:hAnsi="宋体" w:eastAsia="宋体" w:cs="宋体"/>
          <w:sz w:val="24"/>
          <w:szCs w:val="22"/>
        </w:rPr>
        <w:t xml:space="preserve">3．按照法律法规的规定或出现应终止我方保证责任的其它情形的，我方在本保函项下的保证责任亦终止。 </w:t>
      </w:r>
    </w:p>
    <w:p w14:paraId="1D105C49">
      <w:pPr>
        <w:pStyle w:val="2"/>
        <w:rPr>
          <w:rFonts w:hint="eastAsia" w:ascii="宋体" w:hAnsi="宋体" w:eastAsia="宋体" w:cs="宋体"/>
          <w:sz w:val="24"/>
          <w:szCs w:val="22"/>
        </w:rPr>
      </w:pPr>
      <w:r>
        <w:rPr>
          <w:rFonts w:hint="eastAsia" w:ascii="宋体" w:hAnsi="宋体" w:eastAsia="宋体" w:cs="宋体"/>
          <w:sz w:val="24"/>
          <w:szCs w:val="22"/>
        </w:rPr>
        <w:t xml:space="preserve">4．你方与谈判供应商修改主合同，加重我方保证责任的，我方对加重部分不承担保证责任，但该等修改事先经我方书面同意的除外；你方与谈判供应商修改主合同履行期限，我方保证期间仍依修改前的履行期限计算，但该等修改事先经我方书面同意的除外。 </w:t>
      </w:r>
    </w:p>
    <w:p w14:paraId="5119BFF1">
      <w:pPr>
        <w:pStyle w:val="2"/>
        <w:ind w:left="0" w:leftChars="0" w:firstLine="0" w:firstLineChars="0"/>
        <w:rPr>
          <w:rFonts w:hint="eastAsia" w:ascii="宋体" w:hAnsi="宋体" w:eastAsia="宋体" w:cs="宋体"/>
          <w:sz w:val="24"/>
          <w:szCs w:val="22"/>
        </w:rPr>
      </w:pPr>
      <w:r>
        <w:rPr>
          <w:rFonts w:hint="eastAsia" w:ascii="宋体" w:hAnsi="宋体" w:eastAsia="宋体" w:cs="宋体"/>
          <w:sz w:val="24"/>
          <w:szCs w:val="22"/>
        </w:rPr>
        <w:t xml:space="preserve">五、免责条款 </w:t>
      </w:r>
    </w:p>
    <w:p w14:paraId="2DA31C02">
      <w:pPr>
        <w:pStyle w:val="2"/>
        <w:rPr>
          <w:rFonts w:hint="eastAsia" w:ascii="宋体" w:hAnsi="宋体" w:eastAsia="宋体" w:cs="宋体"/>
          <w:sz w:val="24"/>
          <w:szCs w:val="22"/>
        </w:rPr>
      </w:pPr>
      <w:r>
        <w:rPr>
          <w:rFonts w:hint="eastAsia" w:ascii="宋体" w:hAnsi="宋体" w:eastAsia="宋体" w:cs="宋体"/>
          <w:sz w:val="24"/>
          <w:szCs w:val="22"/>
        </w:rPr>
        <w:t xml:space="preserve">1．因你方违反主合同约定致使谈判供应商不能履行义务的，我方不承担保证责任。 </w:t>
      </w:r>
    </w:p>
    <w:p w14:paraId="170C757D">
      <w:pPr>
        <w:pStyle w:val="2"/>
        <w:rPr>
          <w:rFonts w:hint="eastAsia" w:ascii="宋体" w:hAnsi="宋体" w:eastAsia="宋体" w:cs="宋体"/>
          <w:sz w:val="24"/>
          <w:szCs w:val="22"/>
        </w:rPr>
      </w:pPr>
      <w:r>
        <w:rPr>
          <w:rFonts w:hint="eastAsia" w:ascii="宋体" w:hAnsi="宋体" w:eastAsia="宋体" w:cs="宋体"/>
          <w:sz w:val="24"/>
          <w:szCs w:val="22"/>
        </w:rPr>
        <w:t xml:space="preserve">2．依照法律法规的规定或你方与谈判供应商的另行约定，全部或者部分免除谈判供应商应缴纳的保证金义务的，我方亦免除相应的保证责任。 </w:t>
      </w:r>
    </w:p>
    <w:p w14:paraId="42AC14B1">
      <w:pPr>
        <w:pStyle w:val="2"/>
        <w:rPr>
          <w:rFonts w:hint="eastAsia" w:ascii="宋体" w:hAnsi="宋体" w:eastAsia="宋体" w:cs="宋体"/>
          <w:sz w:val="24"/>
          <w:szCs w:val="22"/>
        </w:rPr>
      </w:pPr>
      <w:r>
        <w:rPr>
          <w:rFonts w:hint="eastAsia" w:ascii="宋体" w:hAnsi="宋体" w:eastAsia="宋体" w:cs="宋体"/>
          <w:sz w:val="24"/>
          <w:szCs w:val="22"/>
        </w:rPr>
        <w:t xml:space="preserve">3．因不可抗力造成谈判供应商不能履行供货义务的，我方不承担保证责任。 </w:t>
      </w:r>
    </w:p>
    <w:p w14:paraId="3BA56EFD">
      <w:pPr>
        <w:pStyle w:val="2"/>
        <w:ind w:left="0" w:leftChars="0" w:firstLine="0" w:firstLineChars="0"/>
        <w:rPr>
          <w:rFonts w:hint="eastAsia" w:ascii="宋体" w:hAnsi="宋体" w:eastAsia="宋体" w:cs="宋体"/>
          <w:sz w:val="24"/>
          <w:szCs w:val="22"/>
        </w:rPr>
      </w:pPr>
      <w:r>
        <w:rPr>
          <w:rFonts w:hint="eastAsia" w:ascii="宋体" w:hAnsi="宋体" w:eastAsia="宋体" w:cs="宋体"/>
          <w:sz w:val="24"/>
          <w:szCs w:val="22"/>
        </w:rPr>
        <w:t xml:space="preserve">六、争议的解决 </w:t>
      </w:r>
    </w:p>
    <w:p w14:paraId="0DF4885A">
      <w:pPr>
        <w:pStyle w:val="2"/>
        <w:rPr>
          <w:rFonts w:hint="eastAsia" w:ascii="宋体" w:hAnsi="宋体" w:eastAsia="宋体" w:cs="宋体"/>
          <w:sz w:val="24"/>
          <w:szCs w:val="22"/>
        </w:rPr>
      </w:pPr>
      <w:r>
        <w:rPr>
          <w:rFonts w:hint="eastAsia" w:ascii="宋体" w:hAnsi="宋体" w:eastAsia="宋体" w:cs="宋体"/>
          <w:sz w:val="24"/>
          <w:szCs w:val="22"/>
        </w:rPr>
        <w:t xml:space="preserve"> 因本保函发生的纠纷，由你我双方协商解决，协商不成的，通过诉讼程序解决，诉讼管辖地法院为          法院。 </w:t>
      </w:r>
    </w:p>
    <w:p w14:paraId="70EAAC85">
      <w:pPr>
        <w:pStyle w:val="2"/>
        <w:ind w:left="0" w:leftChars="0" w:firstLine="0" w:firstLineChars="0"/>
        <w:rPr>
          <w:rFonts w:hint="eastAsia" w:ascii="宋体" w:hAnsi="宋体" w:eastAsia="宋体" w:cs="宋体"/>
          <w:sz w:val="24"/>
          <w:szCs w:val="22"/>
        </w:rPr>
      </w:pPr>
      <w:r>
        <w:rPr>
          <w:rFonts w:hint="eastAsia" w:ascii="宋体" w:hAnsi="宋体" w:eastAsia="宋体" w:cs="宋体"/>
          <w:sz w:val="24"/>
          <w:szCs w:val="22"/>
        </w:rPr>
        <w:t xml:space="preserve">七、保函的生效 </w:t>
      </w:r>
    </w:p>
    <w:p w14:paraId="3EBC7684">
      <w:pPr>
        <w:pStyle w:val="2"/>
        <w:rPr>
          <w:rFonts w:hint="eastAsia" w:ascii="宋体" w:hAnsi="宋体" w:eastAsia="宋体" w:cs="宋体"/>
          <w:sz w:val="24"/>
          <w:szCs w:val="22"/>
        </w:rPr>
      </w:pPr>
      <w:r>
        <w:rPr>
          <w:rFonts w:hint="eastAsia" w:ascii="宋体" w:hAnsi="宋体" w:eastAsia="宋体" w:cs="宋体"/>
          <w:sz w:val="24"/>
          <w:szCs w:val="22"/>
        </w:rPr>
        <w:t xml:space="preserve">本保函自我方加盖公章之日起生效。 </w:t>
      </w:r>
    </w:p>
    <w:p w14:paraId="430C4B9A">
      <w:pPr>
        <w:pStyle w:val="2"/>
        <w:rPr>
          <w:rFonts w:hint="eastAsia" w:ascii="宋体" w:hAnsi="宋体" w:eastAsia="宋体" w:cs="宋体"/>
          <w:sz w:val="24"/>
          <w:szCs w:val="22"/>
        </w:rPr>
      </w:pPr>
      <w:r>
        <w:rPr>
          <w:rFonts w:hint="eastAsia" w:ascii="宋体" w:hAnsi="宋体" w:eastAsia="宋体" w:cs="宋体"/>
          <w:sz w:val="24"/>
          <w:szCs w:val="22"/>
        </w:rPr>
        <w:t xml:space="preserve">保证人：（公章） </w:t>
      </w:r>
    </w:p>
    <w:p w14:paraId="75E36286">
      <w:pPr>
        <w:pStyle w:val="2"/>
        <w:rPr>
          <w:rFonts w:hint="eastAsia" w:ascii="宋体" w:hAnsi="宋体" w:eastAsia="宋体" w:cs="宋体"/>
          <w:sz w:val="24"/>
          <w:szCs w:val="22"/>
        </w:rPr>
      </w:pPr>
      <w:r>
        <w:rPr>
          <w:rFonts w:hint="eastAsia" w:ascii="宋体" w:hAnsi="宋体" w:eastAsia="宋体" w:cs="宋体"/>
          <w:sz w:val="24"/>
          <w:szCs w:val="22"/>
        </w:rPr>
        <w:t>年    月    日</w:t>
      </w:r>
    </w:p>
    <w:p w14:paraId="4E7C939D">
      <w:pPr>
        <w:ind w:left="0" w:leftChars="0" w:firstLine="0" w:firstLineChars="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8238A9"/>
    <w:rsid w:val="4A823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character" w:customStyle="1" w:styleId="6">
    <w:name w:val="font01"/>
    <w:basedOn w:val="5"/>
    <w:qFormat/>
    <w:uiPriority w:val="0"/>
    <w:rPr>
      <w:rFonts w:hint="eastAsia" w:ascii="宋体" w:hAnsi="宋体" w:eastAsia="宋体" w:cs="宋体"/>
      <w:color w:val="000000"/>
      <w:sz w:val="20"/>
      <w:szCs w:val="20"/>
      <w:u w:val="none"/>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2025-04-15T06:49:00Z</dcterms:created>
  <dc:creator>ZB</dc:creator>
  <cp:lastModifiedBy>ZB</cp:lastModifiedBy>
  <dcterms:modified xsi:type="dcterms:W3CDTF">2025-04-15T06:50:31Z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9DFA2FF4E7D84D91916C2DC0BC08FC46_11</vt:lpwstr>
  </property>
  <property fmtid="{D5CDD505-2E9C-101B-9397-08002B2CF9AE}" pid="4" name="KSOTemplateDocerSaveRecord">
    <vt:lpwstr>eyJoZGlkIjoiZDI0YzBmOTk5MDMxYjI0NmQyZGRjZWI5NzcxYjVhNWEiLCJ1c2VySWQiOiIzNTU2NzIwMzcifQ==</vt:lpwstr>
  </property>
</Properties>
</file>