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版本号：YSGS-2025ZB041520250417001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市级山洪灾害监测设施修复及更新项目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YSGS-2025ZB0415</w:t>
      </w:r>
      <w:r>
        <w:br/>
      </w:r>
      <w:r>
        <w:br/>
      </w:r>
      <w:r>
        <w:br/>
      </w:r>
    </w:p>
    <w:p>
      <w:pPr>
        <w:pStyle w:val="null3"/>
        <w:jc w:val="center"/>
        <w:outlineLvl w:val="2"/>
      </w:pPr>
      <w:r>
        <w:rPr>
          <w:rFonts w:ascii="仿宋_GB2312" w:hAnsi="仿宋_GB2312" w:cs="仿宋_GB2312" w:eastAsia="仿宋_GB2312"/>
          <w:sz w:val="28"/>
          <w:b/>
        </w:rPr>
        <w:t>西安市水务局（本级）</w:t>
      </w:r>
    </w:p>
    <w:p>
      <w:pPr>
        <w:pStyle w:val="null3"/>
        <w:jc w:val="center"/>
        <w:outlineLvl w:val="2"/>
      </w:pPr>
      <w:r>
        <w:rPr>
          <w:rFonts w:ascii="仿宋_GB2312" w:hAnsi="仿宋_GB2312" w:cs="仿宋_GB2312" w:eastAsia="仿宋_GB2312"/>
          <w:sz w:val="28"/>
          <w:b/>
        </w:rPr>
        <w:t>陕西衍森项目管理有限公司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陕西衍森项目管理有限公司</w:t>
      </w:r>
      <w:r>
        <w:rPr>
          <w:rFonts w:ascii="仿宋_GB2312" w:hAnsi="仿宋_GB2312" w:cs="仿宋_GB2312" w:eastAsia="仿宋_GB2312"/>
        </w:rPr>
        <w:t>（以下简称“代理机构”）受</w:t>
      </w:r>
      <w:r>
        <w:rPr>
          <w:rFonts w:ascii="仿宋_GB2312" w:hAnsi="仿宋_GB2312" w:cs="仿宋_GB2312" w:eastAsia="仿宋_GB2312"/>
        </w:rPr>
        <w:t>西安市水务局（本级）</w:t>
      </w:r>
      <w:r>
        <w:rPr>
          <w:rFonts w:ascii="仿宋_GB2312" w:hAnsi="仿宋_GB2312" w:cs="仿宋_GB2312" w:eastAsia="仿宋_GB2312"/>
        </w:rPr>
        <w:t>委托，拟对</w:t>
      </w:r>
      <w:r>
        <w:rPr>
          <w:rFonts w:ascii="仿宋_GB2312" w:hAnsi="仿宋_GB2312" w:cs="仿宋_GB2312" w:eastAsia="仿宋_GB2312"/>
        </w:rPr>
        <w:t>市级山洪灾害监测设施修复及更新项目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YSGS-2025ZB0415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市级山洪灾害监测设施修复及更新项目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对33处市级山洪灾害监测设施（雨量筒、水位计、雨量计等设备）进行修复及更新，保障山洪监测设施正常运行，确保监测数据准确及时。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采购包1（市级山洪灾害监测设施修复及更新项目）：属于专门面向中小企业采购。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报告：提供2023年度或2024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3、纳税证明或完税证明：提供投标截止之日前近六个月内至少一个月的纳税证明或完税证明（增值税，印花税，城市维护建设费，企业所得税等一种或多种税种），依法免税的单位应提供相关证明材料；</w:t>
      </w:r>
    </w:p>
    <w:p>
      <w:pPr>
        <w:pStyle w:val="null3"/>
      </w:pPr>
      <w:r>
        <w:rPr>
          <w:rFonts w:ascii="仿宋_GB2312" w:hAnsi="仿宋_GB2312" w:cs="仿宋_GB2312" w:eastAsia="仿宋_GB2312"/>
        </w:rPr>
        <w:t>4、社会保障资金缴存证明：提供投标截止之日前近六个月内至少一个月的社会保障资金缴存单据或社保机构开具的社会保险参保缴费情况证明，依法不需要缴纳社会保障资金的单位应提供相关证明材料；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5、设备及专业技术能力的声明：提供具有履行本合同所必需的设备和专业技术能力的声明；</w:t>
      </w:r>
    </w:p>
    <w:p>
      <w:pPr>
        <w:pStyle w:val="null3"/>
      </w:pPr>
      <w:r>
        <w:rPr>
          <w:rFonts w:ascii="仿宋_GB2312" w:hAnsi="仿宋_GB2312" w:cs="仿宋_GB2312" w:eastAsia="仿宋_GB2312"/>
        </w:rPr>
        <w:t>6、3年内在经营活动中没有重大违法记录的书面声明：出具参加政府采购活动前3年内在经营活动中没有重大违法记录的书面声明；</w:t>
      </w:r>
    </w:p>
    <w:p>
      <w:pPr>
        <w:pStyle w:val="null3"/>
      </w:pPr>
      <w:r>
        <w:rPr>
          <w:rFonts w:ascii="仿宋_GB2312" w:hAnsi="仿宋_GB2312" w:cs="仿宋_GB2312" w:eastAsia="仿宋_GB2312"/>
        </w:rPr>
        <w:t>7、授权委托书：被授权人参与磋商的需提供法定代表人身份证明书及授权委托书；法定代表人或负责人直接参与磋商的，须出具法定代表人身份证明书；</w:t>
      </w:r>
    </w:p>
    <w:p>
      <w:pPr>
        <w:pStyle w:val="null3"/>
      </w:pPr>
      <w:r>
        <w:rPr>
          <w:rFonts w:ascii="仿宋_GB2312" w:hAnsi="仿宋_GB2312" w:cs="仿宋_GB2312" w:eastAsia="仿宋_GB2312"/>
        </w:rPr>
        <w:t>8、供应商信誉要求：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p>
      <w:pPr>
        <w:pStyle w:val="null3"/>
      </w:pPr>
      <w:r>
        <w:rPr>
          <w:rFonts w:ascii="仿宋_GB2312" w:hAnsi="仿宋_GB2312" w:cs="仿宋_GB2312" w:eastAsia="仿宋_GB2312"/>
        </w:rPr>
        <w:t>9、联合体投标：本项目不接受联合体磋商。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西安市水务局（本级）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张荔娟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029-86787439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陕西衍森项目管理有限公司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陕西省西安市浐灞生态区欧亚大道3399号欧亚国际一期B座0712室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710024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白琪琪、张乐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029-68325822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及《国家发展和改革委员会办公厅关于招标代理服务收费有关问题的通知》（发改办价格〔2003〕857号）文件中服务类收费标准收取，由中标（成交）供应商向采购代理机构支付，本项目代理服务费按定额6000元整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西安市水务局（本级）</w:t>
      </w:r>
      <w:r>
        <w:rPr>
          <w:rFonts w:ascii="仿宋_GB2312" w:hAnsi="仿宋_GB2312" w:cs="仿宋_GB2312" w:eastAsia="仿宋_GB2312"/>
        </w:rPr>
        <w:t>和</w:t>
      </w:r>
      <w:r>
        <w:rPr>
          <w:rFonts w:ascii="仿宋_GB2312" w:hAnsi="仿宋_GB2312" w:cs="仿宋_GB2312" w:eastAsia="仿宋_GB2312"/>
        </w:rPr>
        <w:t>陕西衍森项目管理有限公司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西安市水务局（本级）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陕西衍森项目管理有限公司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西安市水务局（本级）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陕西衍森项目管理有限公司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陕西衍森项目管理有限公司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陕西衍森项目管理有限公司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陕西衍森项目管理有限公司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联系人：白琪琪、张乐</w:t>
      </w:r>
    </w:p>
    <w:p>
      <w:pPr>
        <w:pStyle w:val="null3"/>
      </w:pPr>
      <w:r>
        <w:rPr>
          <w:rFonts w:ascii="仿宋_GB2312" w:hAnsi="仿宋_GB2312" w:cs="仿宋_GB2312" w:eastAsia="仿宋_GB2312"/>
        </w:rPr>
        <w:t>联系电话：029-68325822</w:t>
      </w:r>
    </w:p>
    <w:p>
      <w:pPr>
        <w:pStyle w:val="null3"/>
      </w:pPr>
      <w:r>
        <w:rPr>
          <w:rFonts w:ascii="仿宋_GB2312" w:hAnsi="仿宋_GB2312" w:cs="仿宋_GB2312" w:eastAsia="仿宋_GB2312"/>
        </w:rPr>
        <w:t>地址：陕西省西安市浐灞生态区欧亚大道3399号欧亚国际一期B座0712室</w:t>
      </w:r>
    </w:p>
    <w:p>
      <w:pPr>
        <w:pStyle w:val="null3"/>
      </w:pPr>
      <w:r>
        <w:rPr>
          <w:rFonts w:ascii="仿宋_GB2312" w:hAnsi="仿宋_GB2312" w:cs="仿宋_GB2312" w:eastAsia="仿宋_GB2312"/>
        </w:rPr>
        <w:t>邮编：710024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对33处市级山洪灾害监测设施（雨量筒、水位计、雨量计等设备）进行修复及更新，保障山洪监测设施正常运行，确保监测数据准确及时。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山洪灾害监测设施修复及更新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标的名称：山洪灾害监测设施修复及更新</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服务内容及要求</w:t>
            </w:r>
          </w:p>
        </w:tc>
        <w:tc>
          <w:tcPr>
            <w:tcW w:type="dxa" w:w="2076"/>
          </w:tcPr>
          <w:p>
            <w:pPr>
              <w:pStyle w:val="null3"/>
            </w:pPr>
            <w:r>
              <w:rPr>
                <w:rFonts w:ascii="仿宋_GB2312" w:hAnsi="仿宋_GB2312" w:cs="仿宋_GB2312" w:eastAsia="仿宋_GB2312"/>
                <w:sz w:val="21"/>
              </w:rPr>
              <w:t>一、</w:t>
            </w:r>
            <w:r>
              <w:rPr>
                <w:rFonts w:ascii="仿宋_GB2312" w:hAnsi="仿宋_GB2312" w:cs="仿宋_GB2312" w:eastAsia="仿宋_GB2312"/>
                <w:sz w:val="21"/>
              </w:rPr>
              <w:t>项目目标</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本项目旨在通过更换水务局管辖的</w:t>
            </w:r>
            <w:r>
              <w:rPr>
                <w:rFonts w:ascii="仿宋_GB2312" w:hAnsi="仿宋_GB2312" w:cs="仿宋_GB2312" w:eastAsia="仿宋_GB2312"/>
                <w:sz w:val="21"/>
              </w:rPr>
              <w:t>33</w:t>
            </w:r>
            <w:r>
              <w:rPr>
                <w:rFonts w:ascii="仿宋_GB2312" w:hAnsi="仿宋_GB2312" w:cs="仿宋_GB2312" w:eastAsia="仿宋_GB2312"/>
                <w:sz w:val="21"/>
              </w:rPr>
              <w:t>个雨量</w:t>
            </w:r>
            <w:r>
              <w:rPr>
                <w:rFonts w:ascii="仿宋_GB2312" w:hAnsi="仿宋_GB2312" w:cs="仿宋_GB2312" w:eastAsia="仿宋_GB2312"/>
                <w:sz w:val="21"/>
              </w:rPr>
              <w:t>、</w:t>
            </w:r>
            <w:r>
              <w:rPr>
                <w:rFonts w:ascii="仿宋_GB2312" w:hAnsi="仿宋_GB2312" w:cs="仿宋_GB2312" w:eastAsia="仿宋_GB2312"/>
                <w:sz w:val="21"/>
              </w:rPr>
              <w:t>水位自动监测</w:t>
            </w:r>
            <w:r>
              <w:rPr>
                <w:rFonts w:ascii="仿宋_GB2312" w:hAnsi="仿宋_GB2312" w:cs="仿宋_GB2312" w:eastAsia="仿宋_GB2312"/>
                <w:sz w:val="21"/>
              </w:rPr>
              <w:t>站的设备，实现以下目标：</w:t>
            </w:r>
          </w:p>
          <w:p>
            <w:pPr>
              <w:pStyle w:val="null3"/>
              <w:ind w:firstLine="420"/>
              <w:jc w:val="both"/>
            </w:pPr>
            <w:r>
              <w:rPr>
                <w:rFonts w:ascii="仿宋_GB2312" w:hAnsi="仿宋_GB2312" w:cs="仿宋_GB2312" w:eastAsia="仿宋_GB2312"/>
                <w:sz w:val="21"/>
              </w:rPr>
              <w:t>功能恢复：确保更换后的设备能够正常工作，实现准确、实时的降雨和水位监测。</w:t>
            </w:r>
          </w:p>
          <w:p>
            <w:pPr>
              <w:pStyle w:val="null3"/>
              <w:ind w:firstLine="420"/>
              <w:jc w:val="both"/>
            </w:pPr>
            <w:r>
              <w:rPr>
                <w:rFonts w:ascii="仿宋_GB2312" w:hAnsi="仿宋_GB2312" w:cs="仿宋_GB2312" w:eastAsia="仿宋_GB2312"/>
                <w:sz w:val="21"/>
              </w:rPr>
              <w:t>系统优化：结合设备更换，对监测系统进行优化升级，提高数据传输效率和预警准确性。</w:t>
            </w:r>
          </w:p>
          <w:p>
            <w:pPr>
              <w:pStyle w:val="null3"/>
              <w:ind w:firstLine="420"/>
              <w:jc w:val="both"/>
            </w:pPr>
            <w:r>
              <w:rPr>
                <w:rFonts w:ascii="仿宋_GB2312" w:hAnsi="仿宋_GB2312" w:cs="仿宋_GB2312" w:eastAsia="仿宋_GB2312"/>
                <w:sz w:val="21"/>
              </w:rPr>
              <w:t>培训提升：对运维人员进行设备操作、维护等方面的培训，提高运维能力和应急响应速度。</w:t>
            </w:r>
          </w:p>
          <w:p>
            <w:pPr>
              <w:pStyle w:val="null3"/>
              <w:ind w:firstLine="420"/>
              <w:jc w:val="both"/>
            </w:pPr>
            <w:r>
              <w:rPr>
                <w:rFonts w:ascii="仿宋_GB2312" w:hAnsi="仿宋_GB2312" w:cs="仿宋_GB2312" w:eastAsia="仿宋_GB2312"/>
                <w:sz w:val="21"/>
              </w:rPr>
              <w:t>二、</w:t>
            </w:r>
            <w:r>
              <w:rPr>
                <w:rFonts w:ascii="仿宋_GB2312" w:hAnsi="仿宋_GB2312" w:cs="仿宋_GB2312" w:eastAsia="仿宋_GB2312"/>
                <w:sz w:val="21"/>
              </w:rPr>
              <w:t>项目内容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设备更换与调试：按照</w:t>
            </w:r>
            <w:r>
              <w:rPr>
                <w:rFonts w:ascii="仿宋_GB2312" w:hAnsi="仿宋_GB2312" w:cs="仿宋_GB2312" w:eastAsia="仿宋_GB2312"/>
                <w:sz w:val="21"/>
              </w:rPr>
              <w:t>项目</w:t>
            </w:r>
            <w:r>
              <w:rPr>
                <w:rFonts w:ascii="仿宋_GB2312" w:hAnsi="仿宋_GB2312" w:cs="仿宋_GB2312" w:eastAsia="仿宋_GB2312"/>
                <w:sz w:val="21"/>
              </w:rPr>
              <w:t>计划，对</w:t>
            </w:r>
            <w:r>
              <w:rPr>
                <w:rFonts w:ascii="仿宋_GB2312" w:hAnsi="仿宋_GB2312" w:cs="仿宋_GB2312" w:eastAsia="仿宋_GB2312"/>
                <w:sz w:val="21"/>
              </w:rPr>
              <w:t>33</w:t>
            </w:r>
            <w:r>
              <w:rPr>
                <w:rFonts w:ascii="仿宋_GB2312" w:hAnsi="仿宋_GB2312" w:cs="仿宋_GB2312" w:eastAsia="仿宋_GB2312"/>
                <w:sz w:val="21"/>
              </w:rPr>
              <w:t>个监测站进行设备更换</w:t>
            </w:r>
            <w:r>
              <w:rPr>
                <w:rFonts w:ascii="仿宋_GB2312" w:hAnsi="仿宋_GB2312" w:cs="仿宋_GB2312" w:eastAsia="仿宋_GB2312"/>
                <w:sz w:val="21"/>
              </w:rPr>
              <w:t>、</w:t>
            </w:r>
            <w:r>
              <w:rPr>
                <w:rFonts w:ascii="仿宋_GB2312" w:hAnsi="仿宋_GB2312" w:cs="仿宋_GB2312" w:eastAsia="仿宋_GB2312"/>
                <w:sz w:val="21"/>
              </w:rPr>
              <w:t>重建</w:t>
            </w:r>
            <w:r>
              <w:rPr>
                <w:rFonts w:ascii="仿宋_GB2312" w:hAnsi="仿宋_GB2312" w:cs="仿宋_GB2312" w:eastAsia="仿宋_GB2312"/>
                <w:sz w:val="21"/>
              </w:rPr>
              <w:t>，并进行现场调试，确保设备正常运行。</w:t>
            </w:r>
            <w:r>
              <w:rPr>
                <w:rFonts w:ascii="仿宋_GB2312" w:hAnsi="仿宋_GB2312" w:cs="仿宋_GB2312" w:eastAsia="仿宋_GB2312"/>
                <w:sz w:val="21"/>
              </w:rPr>
              <w:t>部分设备符合以下更换安装标准：</w:t>
            </w:r>
          </w:p>
          <w:p>
            <w:pPr>
              <w:pStyle w:val="null3"/>
              <w:numPr>
                <w:ilvl w:val="0"/>
                <w:numId w:val="1"/>
              </w:numPr>
              <w:jc w:val="both"/>
            </w:pPr>
            <w:r>
              <w:rPr>
                <w:rFonts w:ascii="仿宋_GB2312" w:hAnsi="仿宋_GB2312" w:cs="仿宋_GB2312" w:eastAsia="仿宋_GB2312"/>
                <w:sz w:val="21"/>
              </w:rPr>
              <w:t>雨量计：雨量传感器安装牢固，水平仪气泡居中；</w:t>
            </w:r>
          </w:p>
          <w:p>
            <w:pPr>
              <w:pStyle w:val="null3"/>
              <w:ind w:firstLine="1680"/>
              <w:jc w:val="both"/>
            </w:pPr>
            <w:r>
              <w:rPr>
                <w:rFonts w:ascii="仿宋_GB2312" w:hAnsi="仿宋_GB2312" w:cs="仿宋_GB2312" w:eastAsia="仿宋_GB2312"/>
                <w:sz w:val="21"/>
              </w:rPr>
              <w:t>信号线传输信号正常；</w:t>
            </w:r>
          </w:p>
          <w:p>
            <w:pPr>
              <w:pStyle w:val="null3"/>
              <w:ind w:left="840" w:firstLine="840"/>
              <w:jc w:val="both"/>
            </w:pPr>
            <w:r>
              <w:rPr>
                <w:rFonts w:ascii="仿宋_GB2312" w:hAnsi="仿宋_GB2312" w:cs="仿宋_GB2312" w:eastAsia="仿宋_GB2312"/>
                <w:sz w:val="21"/>
              </w:rPr>
              <w:t>更换完成后对雨量计进行</w:t>
            </w:r>
            <w:r>
              <w:rPr>
                <w:rFonts w:ascii="仿宋_GB2312" w:hAnsi="仿宋_GB2312" w:cs="仿宋_GB2312" w:eastAsia="仿宋_GB2312"/>
                <w:sz w:val="21"/>
              </w:rPr>
              <w:t>3</w:t>
            </w:r>
            <w:r>
              <w:rPr>
                <w:rFonts w:ascii="仿宋_GB2312" w:hAnsi="仿宋_GB2312" w:cs="仿宋_GB2312" w:eastAsia="仿宋_GB2312"/>
                <w:sz w:val="21"/>
              </w:rPr>
              <w:t>次模拟雨强注水误差试验，每次注水为</w:t>
            </w:r>
            <w:r>
              <w:rPr>
                <w:rFonts w:ascii="仿宋_GB2312" w:hAnsi="仿宋_GB2312" w:cs="仿宋_GB2312" w:eastAsia="仿宋_GB2312"/>
                <w:sz w:val="21"/>
              </w:rPr>
              <w:t>12.5mm</w:t>
            </w:r>
            <w:r>
              <w:rPr>
                <w:rFonts w:ascii="仿宋_GB2312" w:hAnsi="仿宋_GB2312" w:cs="仿宋_GB2312" w:eastAsia="仿宋_GB2312"/>
                <w:sz w:val="21"/>
              </w:rPr>
              <w:t>，雨强度在</w:t>
            </w:r>
            <w:r>
              <w:rPr>
                <w:rFonts w:ascii="仿宋_GB2312" w:hAnsi="仿宋_GB2312" w:cs="仿宋_GB2312" w:eastAsia="仿宋_GB2312"/>
                <w:sz w:val="21"/>
              </w:rPr>
              <w:t>0.1~4.0mm/min</w:t>
            </w:r>
            <w:r>
              <w:rPr>
                <w:rFonts w:ascii="仿宋_GB2312" w:hAnsi="仿宋_GB2312" w:cs="仿宋_GB2312" w:eastAsia="仿宋_GB2312"/>
                <w:sz w:val="21"/>
              </w:rPr>
              <w:t>范围内，每次测量误差应不大于±</w:t>
            </w:r>
            <w:r>
              <w:rPr>
                <w:rFonts w:ascii="仿宋_GB2312" w:hAnsi="仿宋_GB2312" w:cs="仿宋_GB2312" w:eastAsia="仿宋_GB2312"/>
                <w:sz w:val="21"/>
              </w:rPr>
              <w:t>4%</w:t>
            </w:r>
            <w:r>
              <w:rPr>
                <w:rFonts w:ascii="仿宋_GB2312" w:hAnsi="仿宋_GB2312" w:cs="仿宋_GB2312" w:eastAsia="仿宋_GB2312"/>
                <w:sz w:val="21"/>
              </w:rPr>
              <w:t>。</w:t>
            </w:r>
          </w:p>
          <w:p>
            <w:pPr>
              <w:pStyle w:val="null3"/>
              <w:numPr>
                <w:ilvl w:val="0"/>
                <w:numId w:val="1"/>
              </w:numPr>
              <w:jc w:val="both"/>
            </w:pPr>
            <w:r>
              <w:rPr>
                <w:rFonts w:ascii="仿宋_GB2312" w:hAnsi="仿宋_GB2312" w:cs="仿宋_GB2312" w:eastAsia="仿宋_GB2312"/>
                <w:sz w:val="21"/>
              </w:rPr>
              <w:t>水位计：信号线传输信号正常；</w:t>
            </w:r>
          </w:p>
          <w:p>
            <w:pPr>
              <w:pStyle w:val="null3"/>
              <w:ind w:left="840" w:firstLine="840"/>
              <w:jc w:val="both"/>
            </w:pPr>
            <w:r>
              <w:rPr>
                <w:rFonts w:ascii="仿宋_GB2312" w:hAnsi="仿宋_GB2312" w:cs="仿宋_GB2312" w:eastAsia="仿宋_GB2312"/>
                <w:sz w:val="21"/>
              </w:rPr>
              <w:t>更换完成后，按照采用水尺观测值进行校测水位计数值应与发送至平台的数据一致，误差范围小于</w:t>
            </w:r>
            <w:r>
              <w:rPr>
                <w:rFonts w:ascii="仿宋_GB2312" w:hAnsi="仿宋_GB2312" w:cs="仿宋_GB2312" w:eastAsia="仿宋_GB2312"/>
                <w:sz w:val="21"/>
              </w:rPr>
              <w:t>±</w:t>
            </w:r>
            <w:r>
              <w:rPr>
                <w:rFonts w:ascii="仿宋_GB2312" w:hAnsi="仿宋_GB2312" w:cs="仿宋_GB2312" w:eastAsia="仿宋_GB2312"/>
                <w:sz w:val="21"/>
              </w:rPr>
              <w:t>2cm</w:t>
            </w:r>
            <w:r>
              <w:rPr>
                <w:rFonts w:ascii="仿宋_GB2312" w:hAnsi="仿宋_GB2312" w:cs="仿宋_GB2312" w:eastAsia="仿宋_GB2312"/>
                <w:sz w:val="21"/>
              </w:rPr>
              <w:t>。</w:t>
            </w:r>
          </w:p>
          <w:p>
            <w:pPr>
              <w:pStyle w:val="null3"/>
              <w:ind w:firstLine="420"/>
              <w:jc w:val="both"/>
            </w:pPr>
            <w:r>
              <w:rPr>
                <w:rFonts w:ascii="仿宋_GB2312" w:hAnsi="仿宋_GB2312" w:cs="仿宋_GB2312" w:eastAsia="仿宋_GB2312"/>
                <w:sz w:val="21"/>
              </w:rPr>
              <w:t>③　</w:t>
            </w:r>
            <w:r>
              <w:rPr>
                <w:rFonts w:ascii="仿宋_GB2312" w:hAnsi="仿宋_GB2312" w:cs="仿宋_GB2312" w:eastAsia="仿宋_GB2312"/>
                <w:sz w:val="21"/>
              </w:rPr>
              <w:t>遥测终端：遥测终端机收发功能是否正常，分别测试</w:t>
            </w:r>
            <w:r>
              <w:rPr>
                <w:rFonts w:ascii="仿宋_GB2312" w:hAnsi="仿宋_GB2312" w:cs="仿宋_GB2312" w:eastAsia="仿宋_GB2312"/>
                <w:sz w:val="21"/>
              </w:rPr>
              <w:t>GPRS</w:t>
            </w:r>
            <w:r>
              <w:rPr>
                <w:rFonts w:ascii="仿宋_GB2312" w:hAnsi="仿宋_GB2312" w:cs="仿宋_GB2312" w:eastAsia="仿宋_GB2312"/>
                <w:sz w:val="21"/>
              </w:rPr>
              <w:t>、</w:t>
            </w:r>
            <w:r>
              <w:rPr>
                <w:rFonts w:ascii="仿宋_GB2312" w:hAnsi="仿宋_GB2312" w:cs="仿宋_GB2312" w:eastAsia="仿宋_GB2312"/>
                <w:sz w:val="21"/>
              </w:rPr>
              <w:t>4G</w:t>
            </w:r>
            <w:r>
              <w:rPr>
                <w:rFonts w:ascii="仿宋_GB2312" w:hAnsi="仿宋_GB2312" w:cs="仿宋_GB2312" w:eastAsia="仿宋_GB2312"/>
                <w:sz w:val="21"/>
              </w:rPr>
              <w:t>等遥测终端机主、备用信道发送接收数据是否正常，联系中心站确认接收数据格式、</w:t>
            </w:r>
            <w:r>
              <w:rPr>
                <w:rFonts w:ascii="仿宋_GB2312" w:hAnsi="仿宋_GB2312" w:cs="仿宋_GB2312" w:eastAsia="仿宋_GB2312"/>
                <w:sz w:val="21"/>
              </w:rPr>
              <w:t>CRC</w:t>
            </w:r>
            <w:r>
              <w:rPr>
                <w:rFonts w:ascii="仿宋_GB2312" w:hAnsi="仿宋_GB2312" w:cs="仿宋_GB2312" w:eastAsia="仿宋_GB2312"/>
                <w:sz w:val="21"/>
              </w:rPr>
              <w:t>校验正确，数据能正常处理。</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培训与验收：对运维人员进行设备操作、维护等方面的培训，并组织项目验收，确保项目达到预期目标。</w:t>
            </w:r>
          </w:p>
          <w:p>
            <w:pPr>
              <w:pStyle w:val="null3"/>
              <w:ind w:firstLine="420"/>
              <w:jc w:val="both"/>
            </w:pPr>
            <w:r>
              <w:rPr>
                <w:rFonts w:ascii="仿宋_GB2312" w:hAnsi="仿宋_GB2312" w:cs="仿宋_GB2312" w:eastAsia="仿宋_GB2312"/>
                <w:sz w:val="21"/>
              </w:rPr>
              <w:t>三</w:t>
            </w:r>
            <w:r>
              <w:rPr>
                <w:rFonts w:ascii="仿宋_GB2312" w:hAnsi="仿宋_GB2312" w:cs="仿宋_GB2312" w:eastAsia="仿宋_GB2312"/>
                <w:sz w:val="21"/>
              </w:rPr>
              <w:t>、</w:t>
            </w:r>
            <w:r>
              <w:rPr>
                <w:rFonts w:ascii="仿宋_GB2312" w:hAnsi="仿宋_GB2312" w:cs="仿宋_GB2312" w:eastAsia="仿宋_GB2312"/>
                <w:sz w:val="21"/>
              </w:rPr>
              <w:t>需维修测站名单</w:t>
            </w:r>
          </w:p>
          <w:tbl>
            <w:tblPr>
              <w:tblBorders>
                <w:top w:val="none" w:color="000000" w:sz="4"/>
                <w:left w:val="none" w:color="000000" w:sz="4"/>
                <w:bottom w:val="none" w:color="000000" w:sz="4"/>
                <w:right w:val="none" w:color="000000" w:sz="4"/>
                <w:insideH w:val="none"/>
                <w:insideV w:val="none"/>
              </w:tblBorders>
            </w:tblPr>
            <w:tblGrid>
              <w:gridCol w:w="132"/>
              <w:gridCol w:w="254"/>
              <w:gridCol w:w="157"/>
              <w:gridCol w:w="157"/>
              <w:gridCol w:w="206"/>
              <w:gridCol w:w="164"/>
              <w:gridCol w:w="199"/>
              <w:gridCol w:w="216"/>
              <w:gridCol w:w="376"/>
            </w:tblGrid>
            <w:tr>
              <w:tc>
                <w:tcPr>
                  <w:tcW w:type="dxa" w:w="13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序号</w:t>
                  </w:r>
                </w:p>
              </w:tc>
              <w:tc>
                <w:tcPr>
                  <w:tcW w:type="dxa" w:w="254"/>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站名</w:t>
                  </w:r>
                </w:p>
              </w:tc>
              <w:tc>
                <w:tcPr>
                  <w:tcW w:type="dxa" w:w="1099"/>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需更换</w:t>
                  </w:r>
                  <w:r>
                    <w:rPr>
                      <w:rFonts w:ascii="仿宋_GB2312" w:hAnsi="仿宋_GB2312" w:cs="仿宋_GB2312" w:eastAsia="仿宋_GB2312"/>
                      <w:sz w:val="24"/>
                    </w:rPr>
                    <w:t>/</w:t>
                  </w:r>
                  <w:r>
                    <w:rPr>
                      <w:rFonts w:ascii="仿宋_GB2312" w:hAnsi="仿宋_GB2312" w:cs="仿宋_GB2312" w:eastAsia="仿宋_GB2312"/>
                      <w:sz w:val="24"/>
                    </w:rPr>
                    <w:t>新建设备</w:t>
                  </w:r>
                </w:p>
              </w:tc>
              <w:tc>
                <w:tcPr>
                  <w:tcW w:type="dxa" w:w="37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备注</w:t>
                  </w:r>
                </w:p>
              </w:tc>
            </w:tr>
            <w:tr>
              <w:tc>
                <w:tcPr>
                  <w:tcW w:type="dxa" w:w="132"/>
                  <w:vMerge/>
                  <w:tcBorders>
                    <w:top w:val="single" w:color="000000" w:sz="4"/>
                    <w:left w:val="single" w:color="000000" w:sz="4"/>
                    <w:bottom w:val="single" w:color="000000" w:sz="4"/>
                    <w:right w:val="single" w:color="000000" w:sz="4"/>
                  </w:tcBorders>
                </w:tcPr>
                <w:p/>
              </w:tc>
              <w:tc>
                <w:tcPr>
                  <w:tcW w:type="dxa" w:w="254"/>
                  <w:vMerge/>
                  <w:tcBorders>
                    <w:top w:val="single" w:color="000000" w:sz="4"/>
                    <w:left w:val="single" w:color="000000" w:sz="4"/>
                    <w:bottom w:val="single" w:color="000000" w:sz="4"/>
                    <w:right w:val="single" w:color="000000" w:sz="4"/>
                  </w:tcBorders>
                </w:tc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雨量计</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水位计</w:t>
                  </w:r>
                </w:p>
              </w:tc>
              <w:tc>
                <w:tcPr>
                  <w:tcW w:type="dxa" w:w="2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遥测终端</w:t>
                  </w:r>
                </w:p>
              </w:tc>
              <w:tc>
                <w:tcPr>
                  <w:tcW w:type="dxa" w:w="16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卫星机</w:t>
                  </w:r>
                </w:p>
              </w:tc>
              <w:tc>
                <w:tcPr>
                  <w:tcW w:type="dxa" w:w="1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立杆及箱体</w:t>
                  </w:r>
                </w:p>
              </w:tc>
              <w:tc>
                <w:tcPr>
                  <w:tcW w:type="dxa" w:w="2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太阳能供电系统</w:t>
                  </w:r>
                </w:p>
              </w:tc>
              <w:tc>
                <w:tcPr>
                  <w:tcW w:type="dxa" w:w="376"/>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雨量筒需更换分辨力为</w:t>
                  </w:r>
                  <w:r>
                    <w:rPr>
                      <w:rFonts w:ascii="仿宋_GB2312" w:hAnsi="仿宋_GB2312" w:cs="仿宋_GB2312" w:eastAsia="仿宋_GB2312"/>
                      <w:sz w:val="22"/>
                    </w:rPr>
                    <w:t>0.5mm</w:t>
                  </w:r>
                  <w:r>
                    <w:rPr>
                      <w:rFonts w:ascii="仿宋_GB2312" w:hAnsi="仿宋_GB2312" w:cs="仿宋_GB2312" w:eastAsia="仿宋_GB2312"/>
                      <w:sz w:val="22"/>
                    </w:rPr>
                    <w:t>，遥测终端可后端配置，数据协议为</w:t>
                  </w:r>
                  <w:r>
                    <w:rPr>
                      <w:rFonts w:ascii="仿宋_GB2312" w:hAnsi="仿宋_GB2312" w:cs="仿宋_GB2312" w:eastAsia="仿宋_GB2312"/>
                      <w:sz w:val="22"/>
                    </w:rPr>
                    <w:t>SL651</w:t>
                  </w: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柏杨坪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楼观镇</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金牛坪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4</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栗子坪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5</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苦竹滩</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6</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仁安岔</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7</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终南镇</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8</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天堂寺</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9</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韩家山</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10</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老虎沟</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11</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西骆峪水库</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12</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田峪口</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13</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耿峪口</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14</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都督门</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15</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就峪河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16</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四面沟</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17</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毛房沟</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18</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拐林沟</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19</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上刘家</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20</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五庙沟</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21</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两河口</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22</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东林沟</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23</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耿峪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24</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三岔河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25</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刘家沟</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26</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野牛河</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27</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甘家坪</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28</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黄土梁</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39</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杜家河坝</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30</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零河水库</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31</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西坡</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32</w:t>
                  </w:r>
                </w:p>
              </w:tc>
              <w:tc>
                <w:tcPr>
                  <w:tcW w:type="dxa" w:w="25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铁炉岔</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76"/>
                  <w:vMerge/>
                  <w:tcBorders>
                    <w:top w:val="single" w:color="000000" w:sz="4"/>
                    <w:left w:val="single" w:color="000000" w:sz="4"/>
                    <w:bottom w:val="single" w:color="000000" w:sz="4"/>
                    <w:right w:val="single" w:color="000000" w:sz="4"/>
                  </w:tcBorders>
                </w:tcPr>
                <w:p/>
              </w:tc>
            </w:tr>
            <w:tr>
              <w:tc>
                <w:tcPr>
                  <w:tcW w:type="dxa" w:w="1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33</w:t>
                  </w:r>
                </w:p>
              </w:tc>
              <w:tc>
                <w:tcPr>
                  <w:tcW w:type="dxa" w:w="25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头道峡</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6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1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21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rPr>
                    <w:t>1</w:t>
                  </w:r>
                </w:p>
              </w:tc>
              <w:tc>
                <w:tcPr>
                  <w:tcW w:type="dxa" w:w="376"/>
                  <w:vMerge/>
                  <w:tcBorders>
                    <w:top w:val="single" w:color="000000" w:sz="4"/>
                    <w:left w:val="single" w:color="000000" w:sz="4"/>
                    <w:bottom w:val="single" w:color="000000" w:sz="4"/>
                    <w:right w:val="single" w:color="000000" w:sz="4"/>
                  </w:tcBorders>
                </w:tcPr>
                <w:p/>
              </w:tc>
            </w:tr>
            <w:tr>
              <w:tc>
                <w:tcPr>
                  <w:tcW w:type="dxa" w:w="1485"/>
                  <w:gridSpan w:val="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备注：西坡、铁炉岔站被洪水冲毁，头道峡站被人为破坏，此</w:t>
                  </w:r>
                  <w:r>
                    <w:rPr>
                      <w:rFonts w:ascii="仿宋_GB2312" w:hAnsi="仿宋_GB2312" w:cs="仿宋_GB2312" w:eastAsia="仿宋_GB2312"/>
                      <w:sz w:val="24"/>
                    </w:rPr>
                    <w:t>3</w:t>
                  </w:r>
                  <w:r>
                    <w:rPr>
                      <w:rFonts w:ascii="仿宋_GB2312" w:hAnsi="仿宋_GB2312" w:cs="仿宋_GB2312" w:eastAsia="仿宋_GB2312"/>
                      <w:sz w:val="24"/>
                    </w:rPr>
                    <w:t>个自动测站需整体重建</w:t>
                  </w:r>
                </w:p>
              </w:tc>
              <w:tc>
                <w:tcPr>
                  <w:tcW w:type="dxa" w:w="376"/>
                  <w:vMerge/>
                  <w:tcBorders>
                    <w:top w:val="single" w:color="000000" w:sz="4"/>
                    <w:left w:val="single" w:color="000000" w:sz="4"/>
                    <w:bottom w:val="single" w:color="000000" w:sz="4"/>
                    <w:right w:val="single" w:color="000000" w:sz="4"/>
                  </w:tcBorders>
                </w:tcPr>
                <w:p/>
              </w:tc>
            </w:tr>
          </w:tbl>
          <w:p>
            <w:pPr>
              <w:pStyle w:val="null3"/>
              <w:ind w:left="42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自合同签订之日起2个月。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1、竞争性磋商文件、竞争性磋商响应文件、澄清表（函）； 2、本合同及附件文本； 3、国家相应的标准、规范。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根据合同，按照《中华人民共和国民法典》中的相关条款执行。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供应商需在项目电子化交易系统中按要求填写《投标函》完成承诺并进行电子签章；按要求填写供应商企业关联关系声明函并进行电子签章。</w:t>
            </w:r>
          </w:p>
        </w:tc>
        <w:tc>
          <w:tcPr>
            <w:tcW w:type="dxa" w:w="1661"/>
          </w:tcPr>
          <w:p>
            <w:pPr>
              <w:pStyle w:val="null3"/>
            </w:pPr>
            <w:r>
              <w:rPr>
                <w:rFonts w:ascii="仿宋_GB2312" w:hAnsi="仿宋_GB2312" w:cs="仿宋_GB2312" w:eastAsia="仿宋_GB2312"/>
              </w:rPr>
              <w:t>供应商企业关联关系声明函.docx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中小企业声明函.docx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财务报告</w:t>
            </w:r>
          </w:p>
        </w:tc>
        <w:tc>
          <w:tcPr>
            <w:tcW w:type="dxa" w:w="3322"/>
          </w:tcPr>
          <w:p>
            <w:pPr>
              <w:pStyle w:val="null3"/>
            </w:pPr>
            <w:r>
              <w:rPr>
                <w:rFonts w:ascii="仿宋_GB2312" w:hAnsi="仿宋_GB2312" w:cs="仿宋_GB2312" w:eastAsia="仿宋_GB2312"/>
              </w:rPr>
              <w:t>提供2023年度或2024年度经审计的财务报告（成立时间至提交投标文件截止时间不足一年的可提供成立后任意时段的资产负债表），或提交开标日期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纳税证明或完税证明</w:t>
            </w:r>
          </w:p>
        </w:tc>
        <w:tc>
          <w:tcPr>
            <w:tcW w:type="dxa" w:w="3322"/>
          </w:tcPr>
          <w:p>
            <w:pPr>
              <w:pStyle w:val="null3"/>
            </w:pPr>
            <w:r>
              <w:rPr>
                <w:rFonts w:ascii="仿宋_GB2312" w:hAnsi="仿宋_GB2312" w:cs="仿宋_GB2312" w:eastAsia="仿宋_GB2312"/>
              </w:rPr>
              <w:t>提供投标截止之日前近六个月内至少一个月的纳税证明或完税证明（增值税，印花税，城市维护建设费，企业所得税等一种或多种税种），依法免税的单位应提供相关证明材料；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社会保障资金缴存证明</w:t>
            </w:r>
          </w:p>
        </w:tc>
        <w:tc>
          <w:tcPr>
            <w:tcW w:type="dxa" w:w="3322"/>
          </w:tcPr>
          <w:p>
            <w:pPr>
              <w:pStyle w:val="null3"/>
            </w:pPr>
            <w:r>
              <w:rPr>
                <w:rFonts w:ascii="仿宋_GB2312" w:hAnsi="仿宋_GB2312" w:cs="仿宋_GB2312" w:eastAsia="仿宋_GB2312"/>
              </w:rPr>
              <w:t>提供投标截止之日前近六个月内至少一个月的社会保障资金缴存单据或社保机构开具的社会保险参保缴费情况证明，依法不需要缴纳社会保障资金的单位应提供相关证明材料；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设备及专业技术能力的声明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3年内在经营活动中没有重大违法记录的书面声明</w:t>
            </w:r>
          </w:p>
        </w:tc>
        <w:tc>
          <w:tcPr>
            <w:tcW w:type="dxa" w:w="3322"/>
          </w:tcPr>
          <w:p>
            <w:pPr>
              <w:pStyle w:val="null3"/>
            </w:pPr>
            <w:r>
              <w:rPr>
                <w:rFonts w:ascii="仿宋_GB2312" w:hAnsi="仿宋_GB2312" w:cs="仿宋_GB2312" w:eastAsia="仿宋_GB2312"/>
              </w:rPr>
              <w:t>出具参加政府采购活动前3年内在经营活动中没有重大违法记录的书面声明；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被授权人参与磋商的需提供法定代表人身份证明书及授权委托书；法定代表人或负责人直接参与磋商的，须出具法定代表人身份证明书；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供应商信誉要求</w:t>
            </w:r>
          </w:p>
        </w:tc>
        <w:tc>
          <w:tcPr>
            <w:tcW w:type="dxa" w:w="3322"/>
          </w:tcPr>
          <w:p>
            <w:pPr>
              <w:pStyle w:val="null3"/>
            </w:pPr>
            <w:r>
              <w:rPr>
                <w:rFonts w:ascii="仿宋_GB2312" w:hAnsi="仿宋_GB2312" w:cs="仿宋_GB2312" w:eastAsia="仿宋_GB2312"/>
              </w:rPr>
              <w:t>供应商应在中国执行信息公开网网站(http://zxgk.court.gov.cn/)中未列入失信被执行人，在信用中国网站(www.creditchina.gov.cn)中未列入重大税收违法失信主体，在中国政府采购网(www.ccgp.gov.cn)未被列入政府采购严重失信行为记录名单(处罚期限届满的除外，如相关失信记录已失效，供应商需提供相关证明资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联合体投标</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投标（响应）文件的签字盖章符合性</w:t>
            </w:r>
          </w:p>
        </w:tc>
        <w:tc>
          <w:tcPr>
            <w:tcW w:type="dxa" w:w="3322"/>
          </w:tcPr>
          <w:p>
            <w:pPr>
              <w:pStyle w:val="null3"/>
            </w:pPr>
            <w:r>
              <w:rPr>
                <w:rFonts w:ascii="仿宋_GB2312" w:hAnsi="仿宋_GB2312" w:cs="仿宋_GB2312" w:eastAsia="仿宋_GB2312"/>
              </w:rPr>
              <w:t>投标（响应）文件上法定代表人或其授权代表人的签字齐全及加盖公章</w:t>
            </w:r>
          </w:p>
        </w:tc>
        <w:tc>
          <w:tcPr>
            <w:tcW w:type="dxa" w:w="1661"/>
          </w:tcPr>
          <w:p>
            <w:pPr>
              <w:pStyle w:val="null3"/>
            </w:pPr>
            <w:r>
              <w:rPr>
                <w:rFonts w:ascii="仿宋_GB2312" w:hAnsi="仿宋_GB2312" w:cs="仿宋_GB2312" w:eastAsia="仿宋_GB2312"/>
              </w:rPr>
              <w:t>中小企业声明函.docx 供应商类似项目业绩一览表.docx 商务条款响应偏离表.docx 报价表 供应商企业关联关系声明函.docx 供应商承诺书.docx 响应文件封面 分项报价表.docx 供应商应提交的相关资格证明材料.docx 残疾人福利性单位声明函 标的清单 技术、服务条款响应偏离表.docx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投标（响应）有效期符合性</w:t>
            </w:r>
          </w:p>
        </w:tc>
        <w:tc>
          <w:tcPr>
            <w:tcW w:type="dxa" w:w="3322"/>
          </w:tcPr>
          <w:p>
            <w:pPr>
              <w:pStyle w:val="null3"/>
            </w:pPr>
            <w:r>
              <w:rPr>
                <w:rFonts w:ascii="仿宋_GB2312" w:hAnsi="仿宋_GB2312" w:cs="仿宋_GB2312" w:eastAsia="仿宋_GB2312"/>
              </w:rPr>
              <w:t>投标（响应）有效期满足磋商文件要求</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投标（响应）报价符合性</w:t>
            </w:r>
          </w:p>
        </w:tc>
        <w:tc>
          <w:tcPr>
            <w:tcW w:type="dxa" w:w="3322"/>
          </w:tcPr>
          <w:p>
            <w:pPr>
              <w:pStyle w:val="null3"/>
            </w:pPr>
            <w:r>
              <w:rPr>
                <w:rFonts w:ascii="仿宋_GB2312" w:hAnsi="仿宋_GB2312" w:cs="仿宋_GB2312" w:eastAsia="仿宋_GB2312"/>
              </w:rPr>
              <w:t>投标（响应）报价是唯一有效的、投标（响应）报价不得超出最高限价</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技术、服务、商务及其他要求</w:t>
            </w:r>
          </w:p>
        </w:tc>
        <w:tc>
          <w:tcPr>
            <w:tcW w:type="dxa" w:w="3322"/>
          </w:tcPr>
          <w:p>
            <w:pPr>
              <w:pStyle w:val="null3"/>
            </w:pPr>
            <w:r>
              <w:rPr>
                <w:rFonts w:ascii="仿宋_GB2312" w:hAnsi="仿宋_GB2312" w:cs="仿宋_GB2312" w:eastAsia="仿宋_GB2312"/>
              </w:rPr>
              <w:t>技术、服务、商务及其他要求满足磋商文件要求</w:t>
            </w:r>
          </w:p>
        </w:tc>
        <w:tc>
          <w:tcPr>
            <w:tcW w:type="dxa" w:w="1661"/>
          </w:tcPr>
          <w:p>
            <w:pPr>
              <w:pStyle w:val="null3"/>
            </w:pPr>
            <w:r>
              <w:rPr>
                <w:rFonts w:ascii="仿宋_GB2312" w:hAnsi="仿宋_GB2312" w:cs="仿宋_GB2312" w:eastAsia="仿宋_GB2312"/>
              </w:rPr>
              <w:t>商务条款响应偏离表.docx 技术、服务条款响应偏离表.docx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符合法律、法规和磋商文件中规定的其他实质性要求</w:t>
            </w:r>
          </w:p>
        </w:tc>
        <w:tc>
          <w:tcPr>
            <w:tcW w:type="dxa" w:w="1661"/>
          </w:tcPr>
          <w:p>
            <w:pPr>
              <w:pStyle w:val="null3"/>
            </w:pPr>
            <w:r>
              <w:rPr>
                <w:rFonts w:ascii="仿宋_GB2312" w:hAnsi="仿宋_GB2312" w:cs="仿宋_GB2312" w:eastAsia="仿宋_GB2312"/>
              </w:rPr>
              <w:t>中小企业声明函.docx 供应商类似项目业绩一览表.docx 报价表 商务条款响应偏离表.docx 供应商企业关联关系声明函.docx 供应商承诺书.docx 响应文件封面 分项报价表.docx 供应商应提交的相关资格证明材料.docx 残疾人福利性单位声明函 标的清单 技术、服务条款响应偏离表.docx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详细评审90.0000分</w:t>
            </w:r>
          </w:p>
          <w:p>
            <w:pPr>
              <w:pStyle w:val="null3"/>
            </w:pPr>
            <w:r>
              <w:rPr>
                <w:rFonts w:ascii="仿宋_GB2312" w:hAnsi="仿宋_GB2312" w:cs="仿宋_GB2312" w:eastAsia="仿宋_GB2312"/>
              </w:rPr>
              <w:t>报价得分10.0000分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1）供应商针对本项目提供完整的服务方案，且方案合理、服务体系完整，服务流程清晰且切实可行，得(8-12]分 ； 2）方案较全面、基本合理可行，得(4-8]分； 3）方案合理性和可行性较差，得[0-4]分。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服务实施组织计划</w:t>
            </w:r>
          </w:p>
        </w:tc>
        <w:tc>
          <w:tcPr>
            <w:tcW w:type="dxa" w:w="2492"/>
          </w:tcPr>
          <w:p>
            <w:pPr>
              <w:pStyle w:val="null3"/>
            </w:pPr>
            <w:r>
              <w:rPr>
                <w:rFonts w:ascii="仿宋_GB2312" w:hAnsi="仿宋_GB2312" w:cs="仿宋_GB2312" w:eastAsia="仿宋_GB2312"/>
              </w:rPr>
              <w:t>1）针对本项目的服务实施组织计划完整、详细，思路清晰、细节考虑到位，得(7-10]分； 2）组织措施 基本满足需求，得(3-7]分； 3）组织措施内容一般，得[0-3]分。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1）针对本项目服务质量的保证措施，注重新技术、新手段的运用，措施完整、可操作性强，得(7-10]分 ； 2）保证措施基本合理，得(3-7]分； 3）保证措施合理性和可行性较差，得[0-3]分。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进度计划及保障措施</w:t>
            </w:r>
          </w:p>
        </w:tc>
        <w:tc>
          <w:tcPr>
            <w:tcW w:type="dxa" w:w="2492"/>
          </w:tcPr>
          <w:p>
            <w:pPr>
              <w:pStyle w:val="null3"/>
            </w:pPr>
            <w:r>
              <w:rPr>
                <w:rFonts w:ascii="仿宋_GB2312" w:hAnsi="仿宋_GB2312" w:cs="仿宋_GB2312" w:eastAsia="仿宋_GB2312"/>
              </w:rPr>
              <w:t>1) 总服务期满足采购文件要求、进度计划有横道图，服务期节点控制全面合理，措施切实可行，得（7-10]分； 2) 总服务期满足采购文件要求、进度计划有横道图，节点控制全面合理、措施基本可行，得（3-7]分； 3) 总服务期满足采购文件要求、进度计划有横道图，节点控制基本合理，措施一般，得[0-3]分。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1）人员配备合理，经验丰富，分工明确，方案、制度内容完整，描述清晰，且能针对性满足项目需求，得（7-10]分； 2）人员配备较合理，经验较为丰富，分工基本明确，方案、制度内容较完整，描述简单，基本满足项目需要，得（3-7]分；3）人员配备欠合理，分工欠明确，方案、制度内容笼统，描述简单，得[0-3]分。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1）针对本项目可能发生的突发情况，提供应急预案措施，整体方案科学性强、合理性强、规范性强、可操作性强：得(7-10]分； 2）应急预案措施具有一定科学性、合理性较好、规范性较好、可操作性较好：得(3-7]分； 3）应急预案措施合理性一般、可操作性一般，得[0-3]分。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质保期服务方案</w:t>
            </w:r>
          </w:p>
        </w:tc>
        <w:tc>
          <w:tcPr>
            <w:tcW w:type="dxa" w:w="2492"/>
          </w:tcPr>
          <w:p>
            <w:pPr>
              <w:pStyle w:val="null3"/>
            </w:pPr>
            <w:r>
              <w:rPr>
                <w:rFonts w:ascii="仿宋_GB2312" w:hAnsi="仿宋_GB2312" w:cs="仿宋_GB2312" w:eastAsia="仿宋_GB2312"/>
              </w:rPr>
              <w:t>（1）针对本项目制定详细的质保期服务方案，包括服务内容、人员配置及安排、故障维修措施等情况。方案科学、合理、可操作性强，完全满足采购需求的计(7-10]分；（2）方案合理、可操作性较强，基本满足采购需求的计(3-7]分；（3）方案简单笼统、可操作性一般计[0-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合理化建议、培训措施</w:t>
            </w:r>
          </w:p>
        </w:tc>
        <w:tc>
          <w:tcPr>
            <w:tcW w:type="dxa" w:w="2492"/>
          </w:tcPr>
          <w:p>
            <w:pPr>
              <w:pStyle w:val="null3"/>
            </w:pPr>
            <w:r>
              <w:rPr>
                <w:rFonts w:ascii="仿宋_GB2312" w:hAnsi="仿宋_GB2312" w:cs="仿宋_GB2312" w:eastAsia="仿宋_GB2312"/>
              </w:rPr>
              <w:t>1）供应商针对本项目及采购人实际需求提供详细具体可行的合理化建议、培训措施，科学性、合理性、全面性、针对性强，得(4-6]分； 2）科学性、合理性、全面性、针对性较好，得(2-4]分；3）科学性、合理性、全面性、针对性一般，得[0-2]分。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1) 保密制度健全、措施具体可行，得（4-6]； 2) 基本健全、措施基本可行，得（2-4]； 3) 保密措施有明显缺陷，得[0-2]。</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近3年（2022年1月1日至今）承建过类似项目业绩（合同复印件加盖公章），每提供1项得2分；最高得 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 , 即满足磋商文件要求且最后磋商报价最低的报价为评审基准价，其价格分为满分。其他供应商的价格 分统一按照下列公式计算：磋商报价得分=【评审基准价/磋商报价( 最终二次报价）】 ×10。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详见附件：供应商企业关联关系声明函.docx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详见附件：技术、服务条款响应偏离表.docx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详见附件：供应商类似项目业绩一览表.docx</w:t>
      </w:r>
    </w:p>
    <w:p>
      <w:pPr>
        <w:pStyle w:val="null3"/>
        <w:ind w:firstLine="960"/>
      </w:pPr>
      <w:r>
        <w:rPr>
          <w:rFonts w:ascii="仿宋_GB2312" w:hAnsi="仿宋_GB2312" w:cs="仿宋_GB2312" w:eastAsia="仿宋_GB2312"/>
        </w:rPr>
        <w:t>详见附件：中小企业声明函.docx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