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版本号：SDZC2025-05820250422001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档案数字化迁移项目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SDZC2025-058</w:t>
      </w:r>
      <w:r>
        <w:br/>
      </w:r>
      <w:r>
        <w:br/>
      </w:r>
      <w:r>
        <w:br/>
      </w:r>
    </w:p>
    <w:p>
      <w:pPr>
        <w:pStyle w:val="null3"/>
        <w:jc w:val="center"/>
        <w:outlineLvl w:val="2"/>
      </w:pPr>
      <w:r>
        <w:rPr>
          <w:rFonts w:ascii="仿宋_GB2312" w:hAnsi="仿宋_GB2312" w:cs="仿宋_GB2312" w:eastAsia="仿宋_GB2312"/>
          <w:sz w:val="28"/>
          <w:b/>
        </w:rPr>
        <w:t>西安市职业介绍服务中心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西安市职业介绍服务中心</w:t>
      </w:r>
      <w:r>
        <w:rPr>
          <w:rFonts w:ascii="仿宋_GB2312" w:hAnsi="仿宋_GB2312" w:cs="仿宋_GB2312" w:eastAsia="仿宋_GB2312"/>
        </w:rPr>
        <w:t>委托，拟对</w:t>
      </w:r>
      <w:r>
        <w:rPr>
          <w:rFonts w:ascii="仿宋_GB2312" w:hAnsi="仿宋_GB2312" w:cs="仿宋_GB2312" w:eastAsia="仿宋_GB2312"/>
        </w:rPr>
        <w:t>档案数字化迁移项目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SDZC2025-058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档案数字化迁移项目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档案数字化迁移项目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采购包1（档案数字化迁移项目）：属于专门面向小微企业采购。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1、营业执照：营业执照：提供供应商合法注册的法人或者其他组织的营业执照等证明文件、自然人的身份证明；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文件）</w:t>
      </w:r>
    </w:p>
    <w:p>
      <w:pPr>
        <w:pStyle w:val="null3"/>
      </w:pPr>
      <w:r>
        <w:rPr>
          <w:rFonts w:ascii="仿宋_GB2312" w:hAnsi="仿宋_GB2312" w:cs="仿宋_GB2312" w:eastAsia="仿宋_GB2312"/>
        </w:rPr>
        <w:t>5、履行合同承诺：提供具有履行本合同所必需的设备和专业技术能力的说明及承诺（提供书面说明及承诺，加盖供应商公章）；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6、无违法声明：提供参加政府采购活动前三年内在经营活动中没有重大违法记录的书面声明（提供书面声明，加盖供应商公章）；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西安市职业介绍服务中心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西安市建工路28A</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029-82284286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陈瑞（03号工位）、杨宗峰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向陕西上德招标有限公司交纳招标代理服务费。服务费收费标准参照原《国家计委关于印发&lt;招标代理服务收费管理暂行办法&gt;的通知》(计价格〔2002〕1980号)。 汇款账户： 1.开户行名称：陕西上德招标有限公司 2.开户行：西安银行股份有限公司文景路支行 3.帐号：707011510000013522 财务部联系方式：029-86673953、029-86518381、029-89299829、029-89293231 转8033 备注：供应商在汇款（成交服务费）时须注明项目编号+项目简称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西安市职业介绍服务中心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西安市职业介绍服务中心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西安市职业介绍服务中心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数据准确，不改变业务流程，满足采购人使用需求。档案数字化迁移完成后，由采购人负责组织验收，验收合格须交接项目实施的全部资料。项目验收须以竞争性磋商文件、竞争性磋商响应文件、合同及国家相应的标准、规范等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联系人：陈瑞（03号工位）、杨宗峰</w:t>
      </w:r>
    </w:p>
    <w:p>
      <w:pPr>
        <w:pStyle w:val="null3"/>
      </w:pPr>
      <w:r>
        <w:rPr>
          <w:rFonts w:ascii="仿宋_GB2312" w:hAnsi="仿宋_GB2312" w:cs="仿宋_GB2312" w:eastAsia="仿宋_GB2312"/>
        </w:rPr>
        <w:t>联系电话：029-86673953、86518381、89299829、89293231转8003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流动人员人事档案信息化管理能力，确保人事档案信息数据安全，实现人事档案信息系统规范化管理，西安市职业介绍服务中心计划完成CentOS操作系统下流动人员人事档案管理系统数据库改造及业务系统迁移，实现市人社局统一信息平台管理，更高效便捷为档案托管人员提供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档案数字化迁移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标的名称：档案数字化迁移</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档案数字化迁移</w:t>
            </w:r>
          </w:p>
        </w:tc>
        <w:tc>
          <w:tcPr>
            <w:tcW w:type="dxa" w:w="2076"/>
          </w:tcPr>
          <w:p>
            <w:pPr>
              <w:pStyle w:val="null3"/>
              <w:jc w:val="both"/>
            </w:pPr>
            <w:r>
              <w:rPr>
                <w:rFonts w:ascii="仿宋_GB2312" w:hAnsi="仿宋_GB2312" w:cs="仿宋_GB2312" w:eastAsia="仿宋_GB2312"/>
                <w:sz w:val="21"/>
              </w:rPr>
              <w:t>一、项目概况：</w:t>
            </w:r>
          </w:p>
          <w:p>
            <w:pPr>
              <w:pStyle w:val="null3"/>
              <w:ind w:firstLine="640"/>
            </w:pPr>
            <w:r>
              <w:rPr>
                <w:rFonts w:ascii="仿宋_GB2312" w:hAnsi="仿宋_GB2312" w:cs="仿宋_GB2312" w:eastAsia="仿宋_GB2312"/>
                <w:sz w:val="21"/>
              </w:rPr>
              <w:t>为提升流动人员人事档案信息化管理能力，确保人事档案信息数据安全，实现人事档案信息系统规范化管理，西安市职业介绍服务中心计划完成CentOS操作系统下流动人员人事档案管理系统数据库改造及业务系统迁移，实现市人社局统一信息平台管理，更高效便捷为档案托管人员提供服务。</w:t>
            </w:r>
          </w:p>
          <w:p>
            <w:pPr>
              <w:pStyle w:val="null3"/>
              <w:jc w:val="both"/>
            </w:pPr>
            <w:r>
              <w:rPr>
                <w:rFonts w:ascii="仿宋_GB2312" w:hAnsi="仿宋_GB2312" w:cs="仿宋_GB2312" w:eastAsia="仿宋_GB2312"/>
                <w:sz w:val="21"/>
              </w:rPr>
              <w:t>二、服务内容</w:t>
            </w:r>
          </w:p>
          <w:p>
            <w:pPr>
              <w:pStyle w:val="null3"/>
              <w:jc w:val="both"/>
            </w:pPr>
            <w:r>
              <w:rPr>
                <w:rFonts w:ascii="仿宋_GB2312" w:hAnsi="仿宋_GB2312" w:cs="仿宋_GB2312" w:eastAsia="仿宋_GB2312"/>
                <w:sz w:val="21"/>
              </w:rPr>
              <w:t>1.应用系统迁移：将原运行于自建局域windows系统环境的流动人员人事档案管理系统迁移至西安市人社局信息中心机房CentOS操作系统。</w:t>
            </w:r>
          </w:p>
          <w:p>
            <w:pPr>
              <w:pStyle w:val="null3"/>
              <w:jc w:val="both"/>
            </w:pPr>
            <w:r>
              <w:rPr>
                <w:rFonts w:ascii="仿宋_GB2312" w:hAnsi="仿宋_GB2312" w:cs="仿宋_GB2312" w:eastAsia="仿宋_GB2312"/>
                <w:sz w:val="21"/>
              </w:rPr>
              <w:t>2.数据库改造：将原有的 sqlserver、mysql数据库向适用于市人社局统一管理环境的oracle数据库改造迁移。</w:t>
            </w:r>
          </w:p>
          <w:p>
            <w:pPr>
              <w:pStyle w:val="null3"/>
              <w:jc w:val="both"/>
            </w:pPr>
            <w:r>
              <w:rPr>
                <w:rFonts w:ascii="仿宋_GB2312" w:hAnsi="仿宋_GB2312" w:cs="仿宋_GB2312" w:eastAsia="仿宋_GB2312"/>
                <w:sz w:val="21"/>
              </w:rPr>
              <w:t>3.流动人员人事档案管理系统向西安市退休审批系统程序档案图片批量自动传输对接接口功能完善。</w:t>
            </w:r>
          </w:p>
          <w:p>
            <w:pPr>
              <w:pStyle w:val="null3"/>
              <w:jc w:val="both"/>
            </w:pPr>
            <w:r>
              <w:rPr>
                <w:rFonts w:ascii="仿宋_GB2312" w:hAnsi="仿宋_GB2312" w:cs="仿宋_GB2312" w:eastAsia="仿宋_GB2312"/>
                <w:sz w:val="21"/>
              </w:rPr>
              <w:t>4.数据迁移：将现有14万余人员档案信息、580余万张档案图片及业务系统数据迁移至CentOS操作系统服务器。</w:t>
            </w:r>
          </w:p>
          <w:p>
            <w:pPr>
              <w:pStyle w:val="null3"/>
              <w:jc w:val="both"/>
            </w:pPr>
            <w:r>
              <w:rPr>
                <w:rFonts w:ascii="仿宋_GB2312" w:hAnsi="仿宋_GB2312" w:cs="仿宋_GB2312" w:eastAsia="仿宋_GB2312"/>
                <w:sz w:val="21"/>
              </w:rPr>
              <w:t>三、服务要求：</w:t>
            </w:r>
          </w:p>
          <w:p>
            <w:pPr>
              <w:pStyle w:val="null3"/>
              <w:jc w:val="both"/>
            </w:pPr>
            <w:r>
              <w:rPr>
                <w:rFonts w:ascii="仿宋_GB2312" w:hAnsi="仿宋_GB2312" w:cs="仿宋_GB2312" w:eastAsia="仿宋_GB2312"/>
                <w:sz w:val="21"/>
              </w:rPr>
              <w:t>1.应用迁移：原有应用进行适配，使其能够在CentOS操作系统环境下正常运行。迁移中间件，并进行参数配置和优化。迁移数据库，并进行数据结构调整和优化。将适配后的应用部署到CentOS操作系统环境中。</w:t>
            </w:r>
          </w:p>
          <w:p>
            <w:pPr>
              <w:pStyle w:val="null3"/>
            </w:pPr>
            <w:r>
              <w:rPr>
                <w:rFonts w:ascii="仿宋_GB2312" w:hAnsi="仿宋_GB2312" w:cs="仿宋_GB2312" w:eastAsia="仿宋_GB2312"/>
                <w:sz w:val="21"/>
              </w:rPr>
              <w:t>2.数据迁移：在迁移前对所有关键数据进行全量备份，确保数据安全。选择合适的数据迁移工具，实现高效、安全的数据迁移。迁移完成后，对迁移的数据进行全面验证，确保数据完整性、一致性。</w:t>
            </w:r>
          </w:p>
          <w:p>
            <w:pPr>
              <w:pStyle w:val="null3"/>
            </w:pPr>
            <w:r>
              <w:rPr>
                <w:rFonts w:ascii="仿宋_GB2312" w:hAnsi="仿宋_GB2312" w:cs="仿宋_GB2312" w:eastAsia="仿宋_GB2312"/>
                <w:sz w:val="21"/>
              </w:rPr>
              <w:t>3.系统测试：对迁移后的系统进行全面功能、性能、兼容性以及安全进行测试，确保各项功能正常。</w:t>
            </w:r>
          </w:p>
          <w:p>
            <w:pPr>
              <w:pStyle w:val="null3"/>
            </w:pPr>
            <w:r>
              <w:rPr>
                <w:rFonts w:ascii="仿宋_GB2312" w:hAnsi="仿宋_GB2312" w:cs="仿宋_GB2312" w:eastAsia="仿宋_GB2312"/>
                <w:sz w:val="21"/>
              </w:rPr>
              <w:t>4.数据库迁移要求</w:t>
            </w:r>
          </w:p>
          <w:p>
            <w:pPr>
              <w:pStyle w:val="null3"/>
            </w:pPr>
            <w:r>
              <w:rPr>
                <w:rFonts w:ascii="仿宋_GB2312" w:hAnsi="仿宋_GB2312" w:cs="仿宋_GB2312" w:eastAsia="仿宋_GB2312"/>
                <w:sz w:val="21"/>
              </w:rPr>
              <w:t>（1）数据迁移准备</w:t>
            </w:r>
          </w:p>
          <w:p>
            <w:pPr>
              <w:pStyle w:val="null3"/>
            </w:pPr>
            <w:r>
              <w:rPr>
                <w:rFonts w:ascii="仿宋_GB2312" w:hAnsi="仿宋_GB2312" w:cs="仿宋_GB2312" w:eastAsia="仿宋_GB2312"/>
                <w:sz w:val="21"/>
              </w:rPr>
              <w:t>数据评估：对原系统中的数据进行全面评估，确定迁移的数据范围、数据量和数据类型。</w:t>
            </w:r>
          </w:p>
          <w:p>
            <w:pPr>
              <w:pStyle w:val="null3"/>
            </w:pPr>
            <w:r>
              <w:rPr>
                <w:rFonts w:ascii="仿宋_GB2312" w:hAnsi="仿宋_GB2312" w:cs="仿宋_GB2312" w:eastAsia="仿宋_GB2312"/>
                <w:sz w:val="21"/>
              </w:rPr>
              <w:t>迁移计划制定：制定详细的数据迁移计划，包括迁移时间表、资源分配、风险评估等。</w:t>
            </w:r>
          </w:p>
          <w:p>
            <w:pPr>
              <w:pStyle w:val="null3"/>
            </w:pPr>
            <w:r>
              <w:rPr>
                <w:rFonts w:ascii="仿宋_GB2312" w:hAnsi="仿宋_GB2312" w:cs="仿宋_GB2312" w:eastAsia="仿宋_GB2312"/>
                <w:sz w:val="21"/>
              </w:rPr>
              <w:t>（2）数据迁移实施</w:t>
            </w:r>
          </w:p>
          <w:p>
            <w:pPr>
              <w:pStyle w:val="null3"/>
            </w:pPr>
            <w:r>
              <w:rPr>
                <w:rFonts w:ascii="仿宋_GB2312" w:hAnsi="仿宋_GB2312" w:cs="仿宋_GB2312" w:eastAsia="仿宋_GB2312"/>
                <w:sz w:val="21"/>
              </w:rPr>
              <w:t>数据备份：在迁移前对原数据进行全面备份，确保数据的安全性。</w:t>
            </w:r>
          </w:p>
          <w:p>
            <w:pPr>
              <w:pStyle w:val="null3"/>
            </w:pPr>
            <w:r>
              <w:rPr>
                <w:rFonts w:ascii="仿宋_GB2312" w:hAnsi="仿宋_GB2312" w:cs="仿宋_GB2312" w:eastAsia="仿宋_GB2312"/>
                <w:sz w:val="21"/>
              </w:rPr>
              <w:t>数据转换：根据目标数据库的格式和要求，对原数据进行必要的转换和清洗。</w:t>
            </w:r>
          </w:p>
          <w:p>
            <w:pPr>
              <w:pStyle w:val="null3"/>
            </w:pPr>
            <w:r>
              <w:rPr>
                <w:rFonts w:ascii="仿宋_GB2312" w:hAnsi="仿宋_GB2312" w:cs="仿宋_GB2312" w:eastAsia="仿宋_GB2312"/>
                <w:sz w:val="21"/>
              </w:rPr>
              <w:t>数据迁移：使用可靠的数据迁移工具将数据从原系统迁移到oracle数据库。</w:t>
            </w:r>
          </w:p>
          <w:p>
            <w:pPr>
              <w:pStyle w:val="null3"/>
            </w:pPr>
            <w:r>
              <w:rPr>
                <w:rFonts w:ascii="仿宋_GB2312" w:hAnsi="仿宋_GB2312" w:cs="仿宋_GB2312" w:eastAsia="仿宋_GB2312"/>
                <w:sz w:val="21"/>
              </w:rPr>
              <w:t>（3）数据验证与恢复</w:t>
            </w:r>
          </w:p>
          <w:p>
            <w:pPr>
              <w:pStyle w:val="null3"/>
            </w:pPr>
            <w:r>
              <w:rPr>
                <w:rFonts w:ascii="仿宋_GB2312" w:hAnsi="仿宋_GB2312" w:cs="仿宋_GB2312" w:eastAsia="仿宋_GB2312"/>
                <w:sz w:val="21"/>
              </w:rPr>
              <w:t>数据验证：迁移完成后，对迁移的数据进行验证，确保数据的完整性和准确性。</w:t>
            </w:r>
          </w:p>
          <w:p>
            <w:pPr>
              <w:pStyle w:val="null3"/>
              <w:jc w:val="both"/>
            </w:pPr>
            <w:r>
              <w:rPr>
                <w:rFonts w:ascii="仿宋_GB2312" w:hAnsi="仿宋_GB2312" w:cs="仿宋_GB2312" w:eastAsia="仿宋_GB2312"/>
                <w:sz w:val="21"/>
              </w:rPr>
              <w:t>备份恢复测试：测试oracle数据库的备份恢复功能，确保在紧急情况下能够快速恢复数据。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西安市内甲方指定地点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数据准确，不改变业务流程，满足采购人使用需求。档案数字化迁移完成后，由采购人负责组织验收，验收合格须交接项目实施的全部资料。项目验收须以竞争性磋商文件、竞争性磋商响应文件、合同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合同签订后，经采购人通知，供应商开具发票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项目迁移测试交付后，经采购人验收合格，供应商开具发票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货物或货物质量不能满足技术要求，采购人有权终止合同，并对供方违约行为进行追究，同时按《中华人民共和国政府采购法》的有关规定进行处罚。3.供应商须确保合法来源渠道证明文件须在合同签订及履行期间持续有效，否则采购人有权终止合同并要求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1、成交人在领取成交通知书时提供一正两副纸质竞争性磋商响应文件。 装订：纸质竞争性磋商响应文件采用书籍（胶装）方式装订成册，与电子版文件一致的签字、盖章的完整版本，编制书脊（注明项目名称、项目编号）。 2、本项目采购标的对应的中小企业划分标准所属行业为（软件和信息技术服务业）。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供应商需在项目电子化交易系统中按要求上传相应证明文件并进行电子签章。此项审查内容与特定资格条件中的第二项“财务状况报告”为同一审查内容。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要求填写《投标函》完成承诺并进行电子签章。此项审查内容与特定资格条件中的第九项“控股关系查询”为同一审查内容。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无违法声明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除明确允许供应商可以自行编写的外，磋商响应文件按照磋商文件给定的格式编制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响应文件封面 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磋商响应文件按照磋商文件的要求盖章签字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拒绝政府采购领域商业贿赂承诺书.docx 供应商参与政府采购活动的承诺函.docx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磋商报价不得超过采购预算</w:t>
            </w:r>
          </w:p>
        </w:tc>
        <w:tc>
          <w:tcPr>
            <w:tcW w:type="dxa" w:w="3322"/>
          </w:tcPr>
          <w:p>
            <w:pPr>
              <w:pStyle w:val="null3"/>
            </w:pPr>
            <w:r>
              <w:rPr>
                <w:rFonts w:ascii="仿宋_GB2312" w:hAnsi="仿宋_GB2312" w:cs="仿宋_GB2312" w:eastAsia="仿宋_GB2312"/>
              </w:rPr>
              <w:t>磋商报价是否超过采购预算</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磋商有效期符合磋商文件的要求</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对磋商文件商务要求作出明确且实质性响应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对磋商文件服务内容及服务要求作出明确响应，对不得偏离的要求作出实质性响应</w:t>
            </w:r>
          </w:p>
        </w:tc>
        <w:tc>
          <w:tcPr>
            <w:tcW w:type="dxa" w:w="3322"/>
          </w:tcPr>
          <w:p>
            <w:pPr>
              <w:pStyle w:val="null3"/>
            </w:pPr>
            <w:r>
              <w:rPr>
                <w:rFonts w:ascii="仿宋_GB2312" w:hAnsi="仿宋_GB2312" w:cs="仿宋_GB2312" w:eastAsia="仿宋_GB2312"/>
              </w:rPr>
              <w:t>对磋商文件服务内容及服务要求是否作出明确响应，对不得偏离的要求是否作出了实质性响应</w:t>
            </w:r>
          </w:p>
        </w:tc>
        <w:tc>
          <w:tcPr>
            <w:tcW w:type="dxa" w:w="1661"/>
          </w:tcPr>
          <w:p>
            <w:pPr>
              <w:pStyle w:val="null3"/>
            </w:pPr>
            <w:r>
              <w:rPr>
                <w:rFonts w:ascii="仿宋_GB2312" w:hAnsi="仿宋_GB2312" w:cs="仿宋_GB2312" w:eastAsia="仿宋_GB2312"/>
              </w:rPr>
              <w:t>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竞争性磋商响应文件中提供的合法来源渠道证明文件在合同签订及履行期间持续有效，否则响应文件中应提供一份承诺书，承诺到期前完成续期并向采购人提供新的材料</w:t>
            </w:r>
          </w:p>
        </w:tc>
        <w:tc>
          <w:tcPr>
            <w:tcW w:type="dxa" w:w="3322"/>
          </w:tcPr>
          <w:p>
            <w:pPr>
              <w:pStyle w:val="null3"/>
            </w:pPr>
            <w:r>
              <w:rPr>
                <w:rFonts w:ascii="仿宋_GB2312" w:hAnsi="仿宋_GB2312" w:cs="仿宋_GB2312" w:eastAsia="仿宋_GB2312"/>
              </w:rPr>
              <w:t>竞争性磋商响应文件中提供的合法来源渠道证明文件是否在合同签订及履行期间持续有效，否则响应文件中应提供一份承诺书，承诺到期前完成续期并向采购人提供新的材料</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是否有法律、法规和磋商文件规定的其他无效响应情形</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磋商响应文件含有采购人不能接受的附加条件</w:t>
            </w:r>
          </w:p>
        </w:tc>
        <w:tc>
          <w:tcPr>
            <w:tcW w:type="dxa" w:w="3322"/>
          </w:tcPr>
          <w:p>
            <w:pPr>
              <w:pStyle w:val="null3"/>
            </w:pPr>
            <w:r>
              <w:rPr>
                <w:rFonts w:ascii="仿宋_GB2312" w:hAnsi="仿宋_GB2312" w:cs="仿宋_GB2312" w:eastAsia="仿宋_GB2312"/>
              </w:rPr>
              <w:t>磋商响应文件是否含有采购人不能接受的附加条件</w:t>
            </w:r>
          </w:p>
        </w:tc>
        <w:tc>
          <w:tcPr>
            <w:tcW w:type="dxa" w:w="1661"/>
          </w:tcPr>
          <w:p>
            <w:pPr>
              <w:pStyle w:val="null3"/>
            </w:pPr>
            <w:r>
              <w:rPr>
                <w:rFonts w:ascii="仿宋_GB2312" w:hAnsi="仿宋_GB2312" w:cs="仿宋_GB2312" w:eastAsia="仿宋_GB2312"/>
              </w:rPr>
              <w:t>供应商认为有必要补充说明的事宜.docx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磋商报价</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技术指标清晰、明确，产品功能完全满足文件要求及用户实际使用需求的计10分，技术指标或功能每有一条负偏离扣1分，基本分扣完为止。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服务条款响应偏离表.docx</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总体方案对项目建设思路、功能模块，原则、特点的理解情况，方案在确保阶段性任务实现的同时，是否统筹考虑了总体目标的实现，功能点是否合理，是否充分考虑采购人实际使用需求，是否符合本项目对当前和未来发展的要求。 ①方案内容完整全面，思路清晰，设计思路符合采购人需求，得10分； ②方案内容只有书面承诺，缺少具体实施方法及标准，得7分； ③方案内容描述简略，只有简短说明，得4分； ④方案内容有缺项，得2分； ⑤未提供的不得分。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提供项目实施质量保证措施方案，根据方案的针对性、详细性、合理性、可行性进行综合评价。 ①项目实施质量保证措施方案设计合理，详细全面，得7分； ②项目实施质量保证措施方案设计只有书面承诺，缺少具体措施内容，得3分； ③项目实施质量保证措施内容描述简略，只有简短说明，得1分； ④未提供的不得分。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提供应急方案，供应商需提供业务连续性管理方案，包含详细的应急响应方案。 ①应急方案设计合理，详细全面，得7分； ②应急方案只有书面承诺，缺少具体内容，得3分； ③应急方案描述简略，只有简短说明，得1分； ④未提供的不得分。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重点和难点分析</w:t>
            </w:r>
          </w:p>
        </w:tc>
        <w:tc>
          <w:tcPr>
            <w:tcW w:type="dxa" w:w="2492"/>
          </w:tcPr>
          <w:p>
            <w:pPr>
              <w:pStyle w:val="null3"/>
            </w:pPr>
            <w:r>
              <w:rPr>
                <w:rFonts w:ascii="仿宋_GB2312" w:hAnsi="仿宋_GB2312" w:cs="仿宋_GB2312" w:eastAsia="仿宋_GB2312"/>
              </w:rPr>
              <w:t>供应商对本项目重点和难点进行说明，针对本项目实际情况，并做出有针对性其进行分析，提出解决方案，重点、难点突出，叙述全面且简明扼要。 ①内容清晰、准确，全面详细的，得6分； ②内容未突出重点、难点，分析不到位的或缺项的，得3分； ③只提供框架，无详细内容的或内容不符合本项目实际情况的，得1分； ④未提供相关内容的不得分。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重点和难点分析.docx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提供技术方案，包括但不限于技术方案总体设计、档案数字化迁移、迁移时间表、资源分配、风险评估、应用中心、接口方案等，详细阐述系统的体系架构、实现思路和非功能性设计、安全设计。 ①方案内容全面详细、科学合理，得10分； ②方案内容只有书面承诺，缺少具体技术方法，得7分； ③方案内容描述简略，只有简短说明，得4分； ④方案内容有缺项的，得2分； ⑤未提供的不得分。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根据文件中的功能需求，是否有完整的实施方案，提供档案整理时间与进度安排等，其项目管理制度及管理方案是否具有科学性、合理性和可执行性。 ①方案内容全面详细、科学合理，得10分； ②方案内容只有书面承诺，缺少具体实施方法，得7分； ③方案内容描述简略，只有简短说明，得3分； ④方案内容有缺项，得1分； ⑤未提供的不得分。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提供组织架构图和人员配置，根据组织架构、人员配置的专业性、合理性、全面性等方面赋分。 ①内容详细具体，人员配备合理齐全、专业技术能力满足要求、分工健全，经验丰富，得8分； ②内容和人员资料提供有欠缺，人员配备、能力及分工能满足项目需求，但描述不够详细，得4分； ③人员配备缺项，无法满足项目需求，得2分； ④未提供的，不得分。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项目人员配备.docx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提供针对本项目的售后服务方案、售后服务承诺、故障排除速度及维护期内外的后续技术支持和维护能力、响应时间、人员安排等。 ①售后服务方案内容具体、完整、详细、全面，得8分； ②售后服务方案只有书面承诺，缺少具体售后办法，得5分； ③售后服务方案描述简略，只有简短说明，得3分； ④售后服务方案有缺项，得1分； ⑤未提供的不得分。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提供针对本项目的保密措施，保密承诺，要求详细、针对性强，确保本项目的安全实施： ①保密措施描述详细全面、可行，保密承诺详细、具体，得8分； ②保密措施只有框架，无详细说明，保密承诺描述简略，得5分； ③保密措施内容及保密承诺只有简短说明，得3分； ④保密措施内容或保密承诺有缺项，得1分； ⑤未提供相关内容的不得分。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提供投标单位2022年01月至今类似项目业绩，每份计1分，计满6分为止。（注：以合同关键页复印件为准，包含但不限于项目内容、合同金额、合同签订时间等,合同关键内容要求信息完整，遮盖、涂抹无效）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详见附件：总体方案.docx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详见附件：重点和难点分析.docx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详见附件：项目人员配备.docx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