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B86C5">
      <w:pPr>
        <w:rPr>
          <w:rFonts w:hint="eastAsia"/>
        </w:rPr>
      </w:pPr>
      <w:r>
        <w:rPr>
          <w:rFonts w:hint="eastAsia"/>
        </w:rPr>
        <w:t>保密措施</w:t>
      </w:r>
      <w:bookmarkStart w:id="0" w:name="_GoBack"/>
      <w:bookmarkEnd w:id="0"/>
    </w:p>
    <w:p w14:paraId="3D2061EC">
      <w:pPr>
        <w:rPr>
          <w:rFonts w:hint="eastAsia"/>
        </w:rPr>
      </w:pPr>
    </w:p>
    <w:p w14:paraId="31AB70F7">
      <w:pPr>
        <w:rPr>
          <w:rFonts w:hint="eastAsia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1087A5F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77D98"/>
    <w:rsid w:val="16BB4DAF"/>
    <w:rsid w:val="1D77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2025-04-15T08:43:00Z</dcterms:created>
  <dc:creator>®lucky</dc:creator>
  <cp:lastModifiedBy>®lucky</cp:lastModifiedBy>
  <dcterms:modified xsi:type="dcterms:W3CDTF">2025-04-23T02:27:37Z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70496CF232D84F6881D74CF40F5C3F41_11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