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1C105">
      <w:pPr>
        <w:pStyle w:val="5"/>
        <w:keepNext w:val="0"/>
        <w:keepLines w:val="0"/>
        <w:pageBreakBefore w:val="0"/>
        <w:widowControl/>
        <w:shd w:val="clear"/>
        <w:kinsoku/>
        <w:wordWrap/>
        <w:overflowPunct/>
        <w:topLinePunct w:val="0"/>
        <w:autoSpaceDE/>
        <w:autoSpaceDN/>
        <w:bidi w:val="0"/>
        <w:adjustRightInd/>
        <w:snapToGrid/>
        <w:spacing w:before="157" w:beforeLines="50" w:after="157" w:afterLines="50" w:line="360" w:lineRule="auto"/>
        <w:jc w:val="center"/>
        <w:textAlignment w:val="auto"/>
        <w:outlineLvl w:val="1"/>
        <w:rPr>
          <w:rFonts w:hint="eastAsia" w:ascii="宋体" w:hAnsi="宋体" w:eastAsia="宋体" w:cs="宋体"/>
          <w:color w:val="auto"/>
          <w:highlight w:val="none"/>
        </w:rPr>
      </w:pPr>
      <w:r>
        <w:rPr>
          <w:rFonts w:hint="eastAsia" w:ascii="宋体" w:hAnsi="宋体" w:eastAsia="宋体" w:cs="宋体"/>
          <w:b/>
          <w:color w:val="auto"/>
          <w:sz w:val="36"/>
          <w:highlight w:val="none"/>
        </w:rPr>
        <w:t xml:space="preserve"> 拟签订采购合同文本</w:t>
      </w:r>
    </w:p>
    <w:p w14:paraId="237BD70F">
      <w:pPr>
        <w:shd w:val="clear"/>
        <w:rPr>
          <w:b/>
          <w:bCs/>
          <w:color w:val="auto"/>
          <w:sz w:val="48"/>
          <w:szCs w:val="48"/>
          <w:highlight w:val="none"/>
          <w:lang w:eastAsia="zh-CN"/>
        </w:rPr>
      </w:pPr>
    </w:p>
    <w:p w14:paraId="6E489B01">
      <w:pPr>
        <w:shd w:val="clear"/>
        <w:spacing w:line="360" w:lineRule="auto"/>
        <w:jc w:val="center"/>
        <w:rPr>
          <w:b/>
          <w:bCs/>
          <w:color w:val="auto"/>
          <w:sz w:val="52"/>
          <w:szCs w:val="52"/>
          <w:highlight w:val="none"/>
          <w:lang w:eastAsia="zh-CN"/>
        </w:rPr>
      </w:pPr>
    </w:p>
    <w:p w14:paraId="41AEA340">
      <w:pPr>
        <w:shd w:val="clear"/>
        <w:spacing w:line="720" w:lineRule="auto"/>
        <w:jc w:val="center"/>
        <w:rPr>
          <w:rFonts w:hint="eastAsia"/>
          <w:b/>
          <w:bCs/>
          <w:color w:val="auto"/>
          <w:sz w:val="48"/>
          <w:szCs w:val="48"/>
          <w:highlight w:val="none"/>
          <w:lang w:eastAsia="zh-CN"/>
        </w:rPr>
      </w:pPr>
      <w:r>
        <w:rPr>
          <w:rFonts w:hint="eastAsia"/>
          <w:b/>
          <w:bCs/>
          <w:color w:val="auto"/>
          <w:sz w:val="48"/>
          <w:szCs w:val="48"/>
          <w:highlight w:val="none"/>
          <w:lang w:eastAsia="zh-CN"/>
        </w:rPr>
        <w:t>2025年西安河长制断面水质监测项目</w:t>
      </w:r>
    </w:p>
    <w:p w14:paraId="168FC02D">
      <w:pPr>
        <w:shd w:val="clear"/>
        <w:spacing w:line="720" w:lineRule="auto"/>
        <w:jc w:val="center"/>
        <w:rPr>
          <w:b/>
          <w:bCs/>
          <w:color w:val="auto"/>
          <w:sz w:val="48"/>
          <w:szCs w:val="48"/>
          <w:highlight w:val="none"/>
          <w:lang w:eastAsia="zh-CN"/>
        </w:rPr>
      </w:pPr>
      <w:r>
        <w:rPr>
          <w:rFonts w:hint="eastAsia"/>
          <w:b/>
          <w:bCs/>
          <w:color w:val="auto"/>
          <w:sz w:val="48"/>
          <w:szCs w:val="48"/>
          <w:highlight w:val="none"/>
          <w:lang w:eastAsia="zh-CN"/>
        </w:rPr>
        <w:t>（合同包</w:t>
      </w:r>
      <w:r>
        <w:rPr>
          <w:rFonts w:hint="eastAsia"/>
          <w:b/>
          <w:bCs/>
          <w:color w:val="auto"/>
          <w:sz w:val="48"/>
          <w:szCs w:val="48"/>
          <w:highlight w:val="none"/>
          <w:u w:val="single"/>
          <w:lang w:eastAsia="zh-CN"/>
        </w:rPr>
        <w:t xml:space="preserve"> </w:t>
      </w:r>
      <w:r>
        <w:rPr>
          <w:rFonts w:hint="eastAsia"/>
          <w:b/>
          <w:bCs/>
          <w:color w:val="auto"/>
          <w:sz w:val="48"/>
          <w:szCs w:val="48"/>
          <w:highlight w:val="none"/>
          <w:u w:val="single"/>
          <w:lang w:val="en-US" w:eastAsia="zh-CN"/>
        </w:rPr>
        <w:t xml:space="preserve"> </w:t>
      </w:r>
      <w:r>
        <w:rPr>
          <w:rFonts w:hint="eastAsia"/>
          <w:b/>
          <w:bCs/>
          <w:color w:val="auto"/>
          <w:sz w:val="48"/>
          <w:szCs w:val="48"/>
          <w:highlight w:val="none"/>
          <w:u w:val="single"/>
          <w:lang w:eastAsia="zh-CN"/>
        </w:rPr>
        <w:t xml:space="preserve"> </w:t>
      </w:r>
      <w:r>
        <w:rPr>
          <w:rFonts w:hint="eastAsia"/>
          <w:b/>
          <w:bCs/>
          <w:color w:val="auto"/>
          <w:sz w:val="48"/>
          <w:szCs w:val="48"/>
          <w:highlight w:val="none"/>
          <w:lang w:eastAsia="zh-CN"/>
        </w:rPr>
        <w:t>）合同</w:t>
      </w:r>
    </w:p>
    <w:p w14:paraId="319C7AF0">
      <w:pPr>
        <w:shd w:val="clear"/>
        <w:jc w:val="center"/>
        <w:rPr>
          <w:b/>
          <w:bCs/>
          <w:color w:val="auto"/>
          <w:sz w:val="44"/>
          <w:szCs w:val="44"/>
          <w:highlight w:val="none"/>
          <w:lang w:eastAsia="zh-CN"/>
        </w:rPr>
      </w:pPr>
    </w:p>
    <w:p w14:paraId="3780B712">
      <w:pPr>
        <w:shd w:val="clear"/>
        <w:rPr>
          <w:color w:val="auto"/>
          <w:highlight w:val="none"/>
          <w:lang w:eastAsia="zh-CN"/>
        </w:rPr>
      </w:pPr>
    </w:p>
    <w:p w14:paraId="2122D8EF">
      <w:pPr>
        <w:shd w:val="clear"/>
        <w:rPr>
          <w:color w:val="auto"/>
          <w:highlight w:val="none"/>
          <w:lang w:eastAsia="zh-CN"/>
        </w:rPr>
      </w:pPr>
    </w:p>
    <w:p w14:paraId="332D1EAB">
      <w:pPr>
        <w:shd w:val="clear"/>
        <w:rPr>
          <w:color w:val="auto"/>
          <w:highlight w:val="none"/>
          <w:lang w:eastAsia="zh-CN"/>
        </w:rPr>
      </w:pPr>
    </w:p>
    <w:p w14:paraId="7DD76420">
      <w:pPr>
        <w:shd w:val="clear"/>
        <w:rPr>
          <w:color w:val="auto"/>
          <w:highlight w:val="none"/>
          <w:lang w:eastAsia="zh-CN"/>
        </w:rPr>
      </w:pPr>
    </w:p>
    <w:p w14:paraId="6789DDEF">
      <w:pPr>
        <w:shd w:val="clear"/>
        <w:rPr>
          <w:color w:val="auto"/>
          <w:highlight w:val="none"/>
          <w:lang w:eastAsia="zh-CN"/>
        </w:rPr>
      </w:pPr>
    </w:p>
    <w:p w14:paraId="7470E0DA">
      <w:pPr>
        <w:shd w:val="clear"/>
        <w:jc w:val="center"/>
        <w:rPr>
          <w:b/>
          <w:color w:val="auto"/>
          <w:sz w:val="36"/>
          <w:szCs w:val="36"/>
          <w:highlight w:val="none"/>
          <w:lang w:eastAsia="zh-CN"/>
        </w:rPr>
      </w:pPr>
      <w:r>
        <w:rPr>
          <w:rFonts w:hint="eastAsia"/>
          <w:b/>
          <w:color w:val="auto"/>
          <w:sz w:val="36"/>
          <w:szCs w:val="36"/>
          <w:highlight w:val="none"/>
          <w:lang w:eastAsia="zh-CN"/>
        </w:rPr>
        <w:t>（示范文本）</w:t>
      </w:r>
    </w:p>
    <w:p w14:paraId="30448A50">
      <w:pPr>
        <w:shd w:val="clear"/>
        <w:adjustRightInd w:val="0"/>
        <w:snapToGrid w:val="0"/>
        <w:spacing w:line="500" w:lineRule="exact"/>
        <w:ind w:firstLine="950" w:firstLineChars="198"/>
        <w:rPr>
          <w:color w:val="auto"/>
          <w:sz w:val="24"/>
          <w:szCs w:val="24"/>
          <w:highlight w:val="none"/>
          <w:u w:val="single"/>
          <w:lang w:eastAsia="zh-CN"/>
        </w:rPr>
      </w:pPr>
      <w:r>
        <w:rPr>
          <w:rFonts w:hint="eastAsia"/>
          <w:bCs/>
          <w:color w:val="auto"/>
          <w:sz w:val="48"/>
          <w:szCs w:val="48"/>
          <w:highlight w:val="none"/>
          <w:lang w:eastAsia="zh-CN"/>
        </w:rPr>
        <w:br w:type="page"/>
      </w:r>
    </w:p>
    <w:p w14:paraId="52B56095">
      <w:pPr>
        <w:shd w:val="clear"/>
        <w:spacing w:before="120" w:beforeLines="50" w:line="408" w:lineRule="auto"/>
        <w:jc w:val="center"/>
        <w:rPr>
          <w:b/>
          <w:bCs/>
          <w:color w:val="auto"/>
          <w:sz w:val="32"/>
          <w:szCs w:val="32"/>
          <w:highlight w:val="none"/>
          <w:lang w:eastAsia="zh-CN"/>
        </w:rPr>
      </w:pPr>
      <w:r>
        <w:rPr>
          <w:rFonts w:hint="eastAsia"/>
          <w:b/>
          <w:bCs/>
          <w:color w:val="auto"/>
          <w:sz w:val="32"/>
          <w:szCs w:val="32"/>
          <w:highlight w:val="none"/>
          <w:lang w:eastAsia="zh-CN"/>
        </w:rPr>
        <w:t>第一部分  协议书</w:t>
      </w:r>
    </w:p>
    <w:p w14:paraId="117C0852">
      <w:pPr>
        <w:shd w:val="clear"/>
        <w:adjustRightInd w:val="0"/>
        <w:snapToGrid w:val="0"/>
        <w:spacing w:line="500" w:lineRule="exact"/>
        <w:ind w:firstLine="422" w:firstLineChars="200"/>
        <w:rPr>
          <w:b/>
          <w:color w:val="auto"/>
          <w:sz w:val="21"/>
          <w:szCs w:val="21"/>
          <w:highlight w:val="none"/>
          <w:lang w:eastAsia="zh-CN"/>
        </w:rPr>
      </w:pPr>
      <w:r>
        <w:rPr>
          <w:rFonts w:hint="eastAsia"/>
          <w:b/>
          <w:color w:val="auto"/>
          <w:sz w:val="21"/>
          <w:szCs w:val="21"/>
          <w:highlight w:val="none"/>
          <w:lang w:eastAsia="zh-CN"/>
        </w:rPr>
        <w:t>甲方（全称）：</w:t>
      </w:r>
      <w:r>
        <w:rPr>
          <w:rFonts w:hint="eastAsia"/>
          <w:b/>
          <w:color w:val="auto"/>
          <w:sz w:val="21"/>
          <w:szCs w:val="21"/>
          <w:highlight w:val="none"/>
          <w:u w:val="single"/>
          <w:lang w:eastAsia="zh-CN"/>
        </w:rPr>
        <w:t xml:space="preserve">                                      </w:t>
      </w:r>
    </w:p>
    <w:p w14:paraId="1322847E">
      <w:pPr>
        <w:shd w:val="clear"/>
        <w:adjustRightInd w:val="0"/>
        <w:snapToGrid w:val="0"/>
        <w:spacing w:line="500" w:lineRule="exact"/>
        <w:ind w:firstLine="422" w:firstLineChars="200"/>
        <w:rPr>
          <w:color w:val="auto"/>
          <w:sz w:val="21"/>
          <w:szCs w:val="21"/>
          <w:highlight w:val="none"/>
          <w:lang w:eastAsia="zh-CN"/>
        </w:rPr>
      </w:pPr>
      <w:r>
        <w:rPr>
          <w:rFonts w:hint="eastAsia"/>
          <w:b/>
          <w:color w:val="auto"/>
          <w:sz w:val="21"/>
          <w:szCs w:val="21"/>
          <w:highlight w:val="none"/>
          <w:lang w:eastAsia="zh-CN"/>
        </w:rPr>
        <w:t>乙方（全称）：</w:t>
      </w:r>
      <w:r>
        <w:rPr>
          <w:rFonts w:hint="eastAsia"/>
          <w:b/>
          <w:color w:val="auto"/>
          <w:sz w:val="21"/>
          <w:szCs w:val="21"/>
          <w:highlight w:val="none"/>
          <w:u w:val="single"/>
          <w:lang w:eastAsia="zh-CN"/>
        </w:rPr>
        <w:t xml:space="preserve">                                   </w:t>
      </w:r>
      <w:r>
        <w:rPr>
          <w:rFonts w:hint="eastAsia"/>
          <w:color w:val="auto"/>
          <w:sz w:val="21"/>
          <w:szCs w:val="21"/>
          <w:highlight w:val="none"/>
          <w:u w:val="single"/>
          <w:lang w:eastAsia="zh-CN"/>
        </w:rPr>
        <w:t xml:space="preserve">   </w:t>
      </w:r>
    </w:p>
    <w:p w14:paraId="00962256">
      <w:pPr>
        <w:shd w:val="clear"/>
        <w:spacing w:line="500" w:lineRule="exact"/>
        <w:ind w:firstLine="420" w:firstLineChars="200"/>
        <w:rPr>
          <w:color w:val="auto"/>
          <w:sz w:val="21"/>
          <w:szCs w:val="21"/>
          <w:highlight w:val="none"/>
          <w:lang w:eastAsia="zh-CN"/>
        </w:rPr>
      </w:pPr>
      <w:r>
        <w:rPr>
          <w:rFonts w:hint="eastAsia"/>
          <w:color w:val="auto"/>
          <w:sz w:val="21"/>
          <w:szCs w:val="21"/>
          <w:highlight w:val="none"/>
          <w:lang w:eastAsia="zh-CN"/>
        </w:rPr>
        <w:t>甲方就采购所需，按照政府采购程序组织竞争性磋商，确定乙方为成交供应商。依据《中华人民共和国政府采购法》、《中华人民共和国民法典》等相关法律以及竞争性磋商文件、成交供应商竞争性磋商响应文件和澄清表（函）、成交通知书，经甲、乙双方协商，达成如下条款。</w:t>
      </w:r>
    </w:p>
    <w:p w14:paraId="53945116">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一、服务内容： </w:t>
      </w:r>
    </w:p>
    <w:p w14:paraId="0415C258">
      <w:pPr>
        <w:shd w:val="clear"/>
        <w:spacing w:line="500" w:lineRule="exact"/>
        <w:ind w:firstLine="420" w:firstLineChars="200"/>
        <w:rPr>
          <w:color w:val="auto"/>
          <w:sz w:val="21"/>
          <w:szCs w:val="21"/>
          <w:highlight w:val="none"/>
          <w:lang w:eastAsia="zh-CN"/>
        </w:rPr>
      </w:pPr>
      <w:r>
        <w:rPr>
          <w:rFonts w:hint="eastAsia"/>
          <w:color w:val="auto"/>
          <w:sz w:val="21"/>
          <w:szCs w:val="21"/>
          <w:highlight w:val="none"/>
          <w:lang w:eastAsia="zh-CN"/>
        </w:rPr>
        <w:t>1、项目名称：</w:t>
      </w:r>
      <w:r>
        <w:rPr>
          <w:rFonts w:hint="eastAsia"/>
          <w:color w:val="auto"/>
          <w:sz w:val="21"/>
          <w:szCs w:val="21"/>
          <w:highlight w:val="none"/>
          <w:u w:val="single"/>
          <w:lang w:eastAsia="zh-CN"/>
        </w:rPr>
        <w:t>2025年西安河长制断面水质监测项目</w:t>
      </w:r>
    </w:p>
    <w:p w14:paraId="112ED005">
      <w:pPr>
        <w:shd w:val="clear"/>
        <w:spacing w:line="500" w:lineRule="exact"/>
        <w:ind w:firstLine="420" w:firstLineChars="200"/>
        <w:rPr>
          <w:rFonts w:hint="default"/>
          <w:color w:val="auto"/>
          <w:sz w:val="21"/>
          <w:szCs w:val="21"/>
          <w:highlight w:val="none"/>
          <w:lang w:val="en-US" w:eastAsia="zh-CN"/>
        </w:rPr>
      </w:pPr>
      <w:r>
        <w:rPr>
          <w:rFonts w:hint="eastAsia"/>
          <w:color w:val="auto"/>
          <w:sz w:val="21"/>
          <w:szCs w:val="21"/>
          <w:highlight w:val="none"/>
          <w:lang w:eastAsia="zh-CN"/>
        </w:rPr>
        <w:t>2、项目概况：</w:t>
      </w:r>
      <w:r>
        <w:rPr>
          <w:rFonts w:hint="eastAsia"/>
          <w:color w:val="auto"/>
          <w:sz w:val="21"/>
          <w:szCs w:val="21"/>
          <w:highlight w:val="none"/>
          <w:u w:val="single"/>
          <w:lang w:val="en-US" w:eastAsia="zh-CN"/>
        </w:rPr>
        <w:t xml:space="preserve">全市35个区县交界断面、监控断面、考核断面及趋势研究断面，每月2次监测工作，每个断面每次监测化学需氧量、氨氮、总磷、溶解氧等4项指标。 </w:t>
      </w:r>
    </w:p>
    <w:p w14:paraId="4FEF7565">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二、服务地点及服务期 </w:t>
      </w:r>
    </w:p>
    <w:p w14:paraId="7F4706B0">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1、服务地点：</w:t>
      </w:r>
      <w:r>
        <w:rPr>
          <w:rFonts w:hint="eastAsia" w:cs="宋体"/>
          <w:color w:val="auto"/>
          <w:kern w:val="0"/>
          <w:sz w:val="21"/>
          <w:szCs w:val="21"/>
          <w:highlight w:val="none"/>
          <w:lang w:val="en-US" w:eastAsia="zh-CN" w:bidi="ar"/>
        </w:rPr>
        <w:t>采购人指定地点</w:t>
      </w:r>
      <w:r>
        <w:rPr>
          <w:rFonts w:hint="eastAsia" w:ascii="宋体" w:hAnsi="宋体" w:eastAsia="宋体" w:cs="宋体"/>
          <w:color w:val="auto"/>
          <w:kern w:val="0"/>
          <w:sz w:val="21"/>
          <w:szCs w:val="21"/>
          <w:highlight w:val="none"/>
          <w:lang w:val="en-US" w:eastAsia="zh-CN" w:bidi="ar"/>
        </w:rPr>
        <w:t xml:space="preserve">。 </w:t>
      </w:r>
    </w:p>
    <w:p w14:paraId="0DCB1909">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2、服务期：自合同签订之日起一年，</w:t>
      </w:r>
      <w:r>
        <w:rPr>
          <w:rFonts w:hint="eastAsia" w:cs="宋体"/>
          <w:color w:val="auto"/>
          <w:sz w:val="21"/>
          <w:szCs w:val="21"/>
          <w:highlight w:val="none"/>
          <w:lang w:eastAsia="zh-CN"/>
        </w:rPr>
        <w:t>2025年</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lang w:eastAsia="zh-CN"/>
        </w:rPr>
        <w:t>月</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lang w:eastAsia="zh-CN"/>
        </w:rPr>
        <w:t>日至2026年</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lang w:eastAsia="zh-CN"/>
        </w:rPr>
        <w:t>月</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lang w:eastAsia="zh-CN"/>
        </w:rPr>
        <w:t>日。</w:t>
      </w:r>
    </w:p>
    <w:p w14:paraId="5FC7E3ED">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三、合同价款 </w:t>
      </w:r>
    </w:p>
    <w:p w14:paraId="78F8FF6B">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1、合同形式：总价合同</w:t>
      </w:r>
    </w:p>
    <w:p w14:paraId="75B3BD01">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合同总价为完成本项目所要求服务内容且验收合格的所有费用，</w:t>
      </w:r>
      <w:r>
        <w:rPr>
          <w:rFonts w:hint="eastAsia" w:cs="宋体"/>
          <w:color w:val="auto"/>
          <w:kern w:val="0"/>
          <w:sz w:val="21"/>
          <w:szCs w:val="21"/>
          <w:highlight w:val="none"/>
          <w:lang w:val="en-US" w:eastAsia="zh-CN" w:bidi="ar"/>
        </w:rPr>
        <w:t>总价包括但不限于人工费、检测服务费、管理费、社保费、税金等其他一切相关费用</w:t>
      </w:r>
      <w:r>
        <w:rPr>
          <w:rFonts w:hint="eastAsia" w:ascii="宋体" w:hAnsi="宋体" w:eastAsia="宋体" w:cs="宋体"/>
          <w:color w:val="auto"/>
          <w:kern w:val="0"/>
          <w:sz w:val="21"/>
          <w:szCs w:val="21"/>
          <w:highlight w:val="none"/>
          <w:lang w:val="en-US" w:eastAsia="zh-CN" w:bidi="ar"/>
        </w:rPr>
        <w:t>。</w:t>
      </w:r>
    </w:p>
    <w:p w14:paraId="3A321AE7">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w:t>
      </w:r>
      <w:r>
        <w:rPr>
          <w:rFonts w:hint="eastAsia"/>
          <w:color w:val="auto"/>
          <w:sz w:val="21"/>
          <w:szCs w:val="21"/>
          <w:highlight w:val="none"/>
          <w:lang w:eastAsia="zh-CN"/>
        </w:rPr>
        <w:t>合同总价款为人民币</w:t>
      </w:r>
      <w:r>
        <w:rPr>
          <w:rFonts w:hint="eastAsia"/>
          <w:color w:val="auto"/>
          <w:sz w:val="21"/>
          <w:szCs w:val="21"/>
          <w:highlight w:val="none"/>
          <w:u w:val="none"/>
          <w:lang w:eastAsia="zh-CN"/>
        </w:rPr>
        <w:t>大写</w:t>
      </w:r>
      <w:r>
        <w:rPr>
          <w:rFonts w:hint="eastAsia"/>
          <w:color w:val="auto"/>
          <w:sz w:val="21"/>
          <w:szCs w:val="21"/>
          <w:highlight w:val="none"/>
          <w:u w:val="single"/>
          <w:lang w:eastAsia="zh-CN"/>
        </w:rPr>
        <w:t xml:space="preserve">          </w:t>
      </w:r>
      <w:r>
        <w:rPr>
          <w:rFonts w:hint="eastAsia"/>
          <w:color w:val="auto"/>
          <w:sz w:val="21"/>
          <w:szCs w:val="21"/>
          <w:highlight w:val="none"/>
          <w:u w:val="none"/>
          <w:lang w:eastAsia="zh-CN"/>
        </w:rPr>
        <w:t>小写（¥</w:t>
      </w:r>
      <w:r>
        <w:rPr>
          <w:rFonts w:hint="eastAsia"/>
          <w:color w:val="auto"/>
          <w:sz w:val="21"/>
          <w:szCs w:val="21"/>
          <w:highlight w:val="none"/>
          <w:u w:val="single"/>
          <w:lang w:eastAsia="zh-CN"/>
        </w:rPr>
        <w:t xml:space="preserve">       </w:t>
      </w:r>
      <w:r>
        <w:rPr>
          <w:rFonts w:hint="eastAsia"/>
          <w:color w:val="auto"/>
          <w:sz w:val="21"/>
          <w:szCs w:val="21"/>
          <w:highlight w:val="none"/>
          <w:u w:val="none"/>
          <w:lang w:eastAsia="zh-CN"/>
        </w:rPr>
        <w:t>）。</w:t>
      </w:r>
    </w:p>
    <w:p w14:paraId="6D848310">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四、款项结算 </w:t>
      </w:r>
    </w:p>
    <w:p w14:paraId="3966F0D6">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1、付款比例： </w:t>
      </w:r>
    </w:p>
    <w:p w14:paraId="400CAAE5">
      <w:pPr>
        <w:pStyle w:val="5"/>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①第一次付款为</w:t>
      </w:r>
      <w:r>
        <w:rPr>
          <w:rFonts w:hint="eastAsia" w:ascii="宋体" w:hAnsi="宋体" w:eastAsia="宋体" w:cs="宋体"/>
          <w:color w:val="auto"/>
          <w:sz w:val="21"/>
          <w:szCs w:val="21"/>
          <w:highlight w:val="none"/>
          <w:lang w:val="en-US" w:eastAsia="zh-CN"/>
        </w:rPr>
        <w:t>合同签订后</w:t>
      </w:r>
      <w:r>
        <w:rPr>
          <w:rFonts w:hint="eastAsia" w:ascii="宋体" w:hAnsi="宋体" w:eastAsia="宋体" w:cs="宋体"/>
          <w:color w:val="auto"/>
          <w:sz w:val="21"/>
          <w:szCs w:val="21"/>
          <w:highlight w:val="none"/>
        </w:rPr>
        <w:t>，供应商开具相应正式发票</w:t>
      </w:r>
      <w:r>
        <w:rPr>
          <w:rFonts w:hint="eastAsia" w:ascii="宋体" w:hAnsi="宋体" w:eastAsia="宋体" w:cs="宋体"/>
          <w:color w:val="auto"/>
          <w:sz w:val="21"/>
          <w:szCs w:val="21"/>
          <w:highlight w:val="none"/>
          <w:lang w:val="en-US" w:eastAsia="zh-CN"/>
        </w:rPr>
        <w:t>后</w:t>
      </w:r>
      <w:r>
        <w:rPr>
          <w:rFonts w:hint="eastAsia" w:ascii="宋体" w:hAnsi="宋体" w:eastAsia="宋体" w:cs="宋体"/>
          <w:color w:val="auto"/>
          <w:sz w:val="21"/>
          <w:szCs w:val="21"/>
          <w:highlight w:val="none"/>
        </w:rPr>
        <w:t>，达到付款条件起15日内，支付合同总金额的</w:t>
      </w:r>
      <w:r>
        <w:rPr>
          <w:rFonts w:hint="eastAsia" w:ascii="宋体" w:hAnsi="宋体" w:eastAsia="宋体" w:cs="宋体"/>
          <w:color w:val="auto"/>
          <w:sz w:val="21"/>
          <w:szCs w:val="21"/>
          <w:highlight w:val="none"/>
          <w:u w:val="single"/>
          <w:lang w:val="en-US" w:eastAsia="zh-CN"/>
        </w:rPr>
        <w:t>50</w:t>
      </w:r>
      <w:r>
        <w:rPr>
          <w:rFonts w:hint="eastAsia" w:ascii="宋体" w:hAnsi="宋体" w:eastAsia="宋体" w:cs="宋体"/>
          <w:color w:val="auto"/>
          <w:sz w:val="21"/>
          <w:szCs w:val="21"/>
          <w:highlight w:val="none"/>
        </w:rPr>
        <w:t>%。</w:t>
      </w:r>
    </w:p>
    <w:p w14:paraId="775FFC8F">
      <w:pPr>
        <w:keepNext w:val="0"/>
        <w:keepLines w:val="0"/>
        <w:pageBreakBefore w:val="0"/>
        <w:widowControl w:val="0"/>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②第二次付款为服务期结束，资料完整，按照合同要求进行验收，验收通过后，供应商开具相应正式发票</w:t>
      </w:r>
      <w:r>
        <w:rPr>
          <w:rFonts w:hint="eastAsia" w:ascii="宋体" w:hAnsi="宋体" w:eastAsia="宋体" w:cs="宋体"/>
          <w:color w:val="auto"/>
          <w:sz w:val="21"/>
          <w:szCs w:val="21"/>
          <w:highlight w:val="none"/>
          <w:lang w:val="en-US" w:eastAsia="zh-CN"/>
        </w:rPr>
        <w:t>后</w:t>
      </w:r>
      <w:r>
        <w:rPr>
          <w:rFonts w:hint="eastAsia" w:ascii="宋体" w:hAnsi="宋体" w:eastAsia="宋体" w:cs="宋体"/>
          <w:color w:val="auto"/>
          <w:sz w:val="21"/>
          <w:szCs w:val="21"/>
          <w:highlight w:val="none"/>
        </w:rPr>
        <w:t>，达到付款条件起15日内，</w:t>
      </w:r>
      <w:r>
        <w:rPr>
          <w:rFonts w:hint="eastAsia" w:ascii="宋体" w:hAnsi="宋体" w:eastAsia="宋体" w:cs="宋体"/>
          <w:color w:val="auto"/>
          <w:sz w:val="21"/>
          <w:szCs w:val="21"/>
          <w:highlight w:val="none"/>
          <w:lang w:val="en-US" w:eastAsia="zh-CN"/>
        </w:rPr>
        <w:t>据实结算剩余合同款</w:t>
      </w:r>
      <w:r>
        <w:rPr>
          <w:rFonts w:hint="eastAsia" w:ascii="宋体" w:hAnsi="宋体" w:eastAsia="宋体" w:cs="宋体"/>
          <w:color w:val="auto"/>
          <w:sz w:val="21"/>
          <w:szCs w:val="21"/>
          <w:highlight w:val="none"/>
        </w:rPr>
        <w:t>。</w:t>
      </w:r>
    </w:p>
    <w:p w14:paraId="0597E2DE">
      <w:pPr>
        <w:keepNext w:val="0"/>
        <w:keepLines w:val="0"/>
        <w:pageBreakBefore w:val="0"/>
        <w:widowControl w:val="0"/>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2、支付方式：银行转账。 </w:t>
      </w:r>
    </w:p>
    <w:p w14:paraId="4BDDAAAA">
      <w:pPr>
        <w:keepNext w:val="0"/>
        <w:keepLines w:val="0"/>
        <w:pageBreakBefore w:val="0"/>
        <w:widowControl w:val="0"/>
        <w:suppressLineNumbers w:val="0"/>
        <w:shd w:val="clear"/>
        <w:kinsoku/>
        <w:wordWrap/>
        <w:overflowPunct/>
        <w:topLinePunct w:val="0"/>
        <w:autoSpaceDE/>
        <w:autoSpaceDN/>
        <w:bidi w:val="0"/>
        <w:adjustRightInd/>
        <w:snapToGrid/>
        <w:spacing w:line="360" w:lineRule="auto"/>
        <w:ind w:firstLine="420" w:firstLineChars="200"/>
        <w:jc w:val="left"/>
        <w:textAlignment w:val="auto"/>
        <w:rPr>
          <w:color w:val="auto"/>
          <w:sz w:val="21"/>
          <w:szCs w:val="21"/>
          <w:highlight w:val="none"/>
          <w:lang w:eastAsia="zh-CN"/>
        </w:rPr>
      </w:pPr>
      <w:r>
        <w:rPr>
          <w:rFonts w:hint="eastAsia" w:ascii="宋体" w:hAnsi="宋体" w:eastAsia="宋体" w:cs="宋体"/>
          <w:color w:val="auto"/>
          <w:kern w:val="0"/>
          <w:sz w:val="21"/>
          <w:szCs w:val="21"/>
          <w:highlight w:val="none"/>
          <w:lang w:val="en-US" w:eastAsia="zh-CN" w:bidi="ar"/>
        </w:rPr>
        <w:t>3、结算方式：</w:t>
      </w:r>
      <w:r>
        <w:rPr>
          <w:rFonts w:hint="eastAsia"/>
          <w:color w:val="auto"/>
          <w:sz w:val="21"/>
          <w:szCs w:val="21"/>
          <w:highlight w:val="none"/>
          <w:lang w:eastAsia="zh-CN"/>
        </w:rPr>
        <w:t>在甲方进行每笔付款前，乙方需向甲方开具等额的增值税普通发票，因乙方未及时提供发票引起的支付延误由乙方自行承担责任。</w:t>
      </w:r>
    </w:p>
    <w:p w14:paraId="445EB61A">
      <w:pPr>
        <w:keepNext w:val="0"/>
        <w:keepLines w:val="0"/>
        <w:pageBreakBefore w:val="0"/>
        <w:widowControl/>
        <w:shd w:val="clear"/>
        <w:kinsoku/>
        <w:wordWrap/>
        <w:overflowPunct/>
        <w:topLinePunct w:val="0"/>
        <w:bidi w:val="0"/>
        <w:adjustRightInd/>
        <w:snapToGrid/>
        <w:spacing w:line="500" w:lineRule="exact"/>
        <w:ind w:firstLine="420" w:firstLineChars="200"/>
        <w:textAlignment w:val="auto"/>
        <w:rPr>
          <w:color w:val="auto"/>
          <w:sz w:val="21"/>
          <w:szCs w:val="21"/>
          <w:highlight w:val="none"/>
          <w:lang w:eastAsia="zh-CN"/>
        </w:rPr>
      </w:pPr>
      <w:r>
        <w:rPr>
          <w:rFonts w:hint="eastAsia"/>
          <w:color w:val="auto"/>
          <w:sz w:val="21"/>
          <w:szCs w:val="21"/>
          <w:highlight w:val="none"/>
          <w:lang w:val="en-US" w:eastAsia="zh-CN"/>
        </w:rPr>
        <w:t>4</w:t>
      </w:r>
      <w:r>
        <w:rPr>
          <w:rFonts w:hint="eastAsia"/>
          <w:color w:val="auto"/>
          <w:sz w:val="21"/>
          <w:szCs w:val="21"/>
          <w:highlight w:val="none"/>
          <w:lang w:eastAsia="zh-CN"/>
        </w:rPr>
        <w:t>、甲方通过银行转账的方式向乙方支付协议款项，乙方提供银行账号。</w:t>
      </w:r>
    </w:p>
    <w:p w14:paraId="2418E526">
      <w:pPr>
        <w:shd w:val="clear"/>
        <w:spacing w:line="500" w:lineRule="exact"/>
        <w:ind w:firstLine="420" w:firstLineChars="200"/>
        <w:rPr>
          <w:color w:val="auto"/>
          <w:sz w:val="21"/>
          <w:szCs w:val="21"/>
          <w:highlight w:val="none"/>
          <w:lang w:eastAsia="zh-CN"/>
        </w:rPr>
      </w:pPr>
      <w:r>
        <w:rPr>
          <w:rFonts w:hint="eastAsia"/>
          <w:color w:val="auto"/>
          <w:sz w:val="21"/>
          <w:szCs w:val="21"/>
          <w:highlight w:val="none"/>
          <w:lang w:val="en-US" w:eastAsia="zh-CN"/>
        </w:rPr>
        <w:t>5</w:t>
      </w:r>
      <w:r>
        <w:rPr>
          <w:rFonts w:hint="eastAsia"/>
          <w:color w:val="auto"/>
          <w:sz w:val="21"/>
          <w:szCs w:val="21"/>
          <w:highlight w:val="none"/>
          <w:lang w:eastAsia="zh-CN"/>
        </w:rPr>
        <w:t>、乙方指定账户为：</w:t>
      </w:r>
    </w:p>
    <w:p w14:paraId="6FB0F372">
      <w:pPr>
        <w:shd w:val="clear"/>
        <w:spacing w:line="500" w:lineRule="exact"/>
        <w:ind w:firstLine="420" w:firstLineChars="200"/>
        <w:rPr>
          <w:color w:val="auto"/>
          <w:sz w:val="21"/>
          <w:szCs w:val="21"/>
          <w:highlight w:val="none"/>
          <w:lang w:eastAsia="zh-CN"/>
        </w:rPr>
      </w:pPr>
      <w:r>
        <w:rPr>
          <w:rFonts w:hint="eastAsia"/>
          <w:color w:val="auto"/>
          <w:sz w:val="21"/>
          <w:szCs w:val="21"/>
          <w:highlight w:val="none"/>
          <w:lang w:eastAsia="zh-CN"/>
        </w:rPr>
        <w:t>账户名称：</w:t>
      </w:r>
      <w:r>
        <w:rPr>
          <w:rFonts w:hint="eastAsia"/>
          <w:color w:val="auto"/>
          <w:sz w:val="21"/>
          <w:szCs w:val="21"/>
          <w:highlight w:val="none"/>
          <w:u w:val="single"/>
          <w:lang w:eastAsia="zh-CN"/>
        </w:rPr>
        <w:t xml:space="preserve">                </w:t>
      </w:r>
    </w:p>
    <w:p w14:paraId="0EA95EA5">
      <w:pPr>
        <w:shd w:val="clear"/>
        <w:spacing w:line="500" w:lineRule="exact"/>
        <w:ind w:firstLine="420" w:firstLineChars="200"/>
        <w:rPr>
          <w:color w:val="auto"/>
          <w:sz w:val="21"/>
          <w:szCs w:val="21"/>
          <w:highlight w:val="none"/>
          <w:lang w:eastAsia="zh-CN"/>
        </w:rPr>
      </w:pPr>
      <w:r>
        <w:rPr>
          <w:rFonts w:hint="eastAsia"/>
          <w:color w:val="auto"/>
          <w:sz w:val="21"/>
          <w:szCs w:val="21"/>
          <w:highlight w:val="none"/>
          <w:lang w:eastAsia="zh-CN"/>
        </w:rPr>
        <w:t>开户行：</w:t>
      </w:r>
      <w:r>
        <w:rPr>
          <w:rFonts w:hint="eastAsia"/>
          <w:color w:val="auto"/>
          <w:sz w:val="21"/>
          <w:szCs w:val="21"/>
          <w:highlight w:val="none"/>
          <w:u w:val="single"/>
          <w:lang w:eastAsia="zh-CN"/>
        </w:rPr>
        <w:t xml:space="preserve">                  </w:t>
      </w:r>
    </w:p>
    <w:p w14:paraId="6EFA7FA3">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color w:val="auto"/>
          <w:sz w:val="21"/>
          <w:szCs w:val="21"/>
          <w:highlight w:val="none"/>
          <w:lang w:eastAsia="zh-CN"/>
        </w:rPr>
        <w:t>账</w:t>
      </w:r>
      <w:r>
        <w:rPr>
          <w:rFonts w:hint="eastAsia"/>
          <w:color w:val="auto"/>
          <w:sz w:val="21"/>
          <w:szCs w:val="21"/>
          <w:highlight w:val="none"/>
          <w:lang w:val="en-US" w:eastAsia="zh-CN"/>
        </w:rPr>
        <w:t>号</w:t>
      </w:r>
      <w:r>
        <w:rPr>
          <w:rFonts w:hint="eastAsia"/>
          <w:color w:val="auto"/>
          <w:sz w:val="21"/>
          <w:szCs w:val="21"/>
          <w:highlight w:val="none"/>
          <w:lang w:eastAsia="zh-CN"/>
        </w:rPr>
        <w:t>：</w:t>
      </w:r>
      <w:r>
        <w:rPr>
          <w:rFonts w:hint="eastAsia"/>
          <w:color w:val="auto"/>
          <w:sz w:val="21"/>
          <w:szCs w:val="21"/>
          <w:highlight w:val="none"/>
          <w:u w:val="single"/>
          <w:lang w:eastAsia="zh-CN"/>
        </w:rPr>
        <w:t xml:space="preserve">                </w:t>
      </w:r>
    </w:p>
    <w:p w14:paraId="5F24062C">
      <w:pPr>
        <w:keepNext w:val="0"/>
        <w:keepLines w:val="0"/>
        <w:pageBreakBefore w:val="0"/>
        <w:widowControl/>
        <w:numPr>
          <w:ilvl w:val="0"/>
          <w:numId w:val="1"/>
        </w:numPr>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0"/>
          <w:sz w:val="21"/>
          <w:szCs w:val="21"/>
          <w:highlight w:val="none"/>
          <w:lang w:val="en-US" w:eastAsia="zh-CN" w:bidi="ar"/>
        </w:rPr>
      </w:pPr>
      <w:r>
        <w:rPr>
          <w:rFonts w:hint="eastAsia" w:ascii="宋体" w:hAnsi="宋体" w:eastAsia="宋体" w:cs="宋体"/>
          <w:b/>
          <w:bCs/>
          <w:color w:val="auto"/>
          <w:kern w:val="0"/>
          <w:sz w:val="21"/>
          <w:szCs w:val="21"/>
          <w:highlight w:val="none"/>
          <w:lang w:val="en-US" w:eastAsia="zh-CN" w:bidi="ar"/>
        </w:rPr>
        <w:t>服务内容及要求</w:t>
      </w:r>
    </w:p>
    <w:p w14:paraId="4AC92B4F">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cs="宋体"/>
          <w:color w:val="auto"/>
          <w:kern w:val="0"/>
          <w:sz w:val="21"/>
          <w:szCs w:val="21"/>
          <w:highlight w:val="none"/>
          <w:lang w:val="zh-CN" w:eastAsia="zh-CN" w:bidi="ar"/>
        </w:rPr>
        <w:t>（</w:t>
      </w:r>
      <w:r>
        <w:rPr>
          <w:rFonts w:hint="eastAsia" w:ascii="宋体" w:hAnsi="宋体" w:eastAsia="宋体" w:cs="宋体"/>
          <w:color w:val="auto"/>
          <w:kern w:val="0"/>
          <w:sz w:val="21"/>
          <w:szCs w:val="21"/>
          <w:highlight w:val="none"/>
          <w:lang w:val="zh-CN" w:eastAsia="zh-CN" w:bidi="ar"/>
        </w:rPr>
        <w:t>一）监测依据要求</w:t>
      </w:r>
    </w:p>
    <w:p w14:paraId="6BE49A16">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1、《地表水</w:t>
      </w:r>
      <w:r>
        <w:rPr>
          <w:rFonts w:hint="eastAsia" w:ascii="宋体" w:hAnsi="宋体" w:eastAsia="宋体" w:cs="宋体"/>
          <w:color w:val="auto"/>
          <w:kern w:val="0"/>
          <w:sz w:val="21"/>
          <w:szCs w:val="21"/>
          <w:highlight w:val="none"/>
          <w:lang w:val="en-US" w:eastAsia="zh-CN" w:bidi="ar"/>
        </w:rPr>
        <w:t>环境质量</w:t>
      </w:r>
      <w:r>
        <w:rPr>
          <w:rFonts w:hint="eastAsia" w:ascii="宋体" w:hAnsi="宋体" w:eastAsia="宋体" w:cs="宋体"/>
          <w:color w:val="auto"/>
          <w:kern w:val="0"/>
          <w:sz w:val="21"/>
          <w:szCs w:val="21"/>
          <w:highlight w:val="none"/>
          <w:lang w:val="zh-CN" w:eastAsia="zh-CN" w:bidi="ar"/>
        </w:rPr>
        <w:t>监测技术规范》（HJ91.2-2022）；</w:t>
      </w:r>
    </w:p>
    <w:p w14:paraId="3B5EB017">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2、《国家地表水环境质量监测网监测任务作业指导书（试行）》 环境保护部；</w:t>
      </w:r>
    </w:p>
    <w:p w14:paraId="31AD3805">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3、溶解氧需现场测定，依据《水质 溶解氧的测定 电化学探头法》(HJ506-2009)或《便携式溶解氧测定仪技术要求及检测方法》(HJ915-2017)；</w:t>
      </w:r>
    </w:p>
    <w:p w14:paraId="65A8AE32">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4、化学需氧量采用《水质 化学需氧量的测定 重铬酸盐法》（HJ828-2017）；</w:t>
      </w:r>
    </w:p>
    <w:p w14:paraId="5712A8C2">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5、氨氮采用《水质 氨氮的测定 纳氏试剂分光光度法》（HJ 535-2009） 或《水质 氨氮的测定 水杨酸分光光度法》（HJ 535-2009）；</w:t>
      </w:r>
    </w:p>
    <w:p w14:paraId="61AB5663">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zh-CN" w:eastAsia="zh-CN" w:bidi="ar"/>
        </w:rPr>
        <w:t>、总磷采用《水质 总磷的测定 钼酸铵分光光度法》（GB/T 11893-1989）。</w:t>
      </w:r>
    </w:p>
    <w:p w14:paraId="7543490E">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cs="宋体"/>
          <w:color w:val="auto"/>
          <w:kern w:val="0"/>
          <w:sz w:val="21"/>
          <w:szCs w:val="21"/>
          <w:highlight w:val="none"/>
          <w:lang w:val="zh-CN" w:eastAsia="zh-CN" w:bidi="ar"/>
        </w:rPr>
        <w:t>（</w:t>
      </w:r>
      <w:r>
        <w:rPr>
          <w:rFonts w:hint="eastAsia" w:ascii="宋体" w:hAnsi="宋体" w:eastAsia="宋体" w:cs="宋体"/>
          <w:color w:val="auto"/>
          <w:kern w:val="0"/>
          <w:sz w:val="21"/>
          <w:szCs w:val="21"/>
          <w:highlight w:val="none"/>
          <w:lang w:val="zh-CN" w:eastAsia="zh-CN" w:bidi="ar"/>
        </w:rPr>
        <w:t>二）监测项目及服务周期</w:t>
      </w:r>
    </w:p>
    <w:p w14:paraId="1F43044D">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依据《西安市河长制监测工作方案》要求，监测内容如下：</w:t>
      </w:r>
    </w:p>
    <w:p w14:paraId="20CFAA91">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1、监测点位：共计</w:t>
      </w:r>
      <w:r>
        <w:rPr>
          <w:rFonts w:hint="eastAsia" w:ascii="宋体" w:hAnsi="宋体" w:eastAsia="宋体" w:cs="宋体"/>
          <w:color w:val="auto"/>
          <w:kern w:val="0"/>
          <w:sz w:val="21"/>
          <w:szCs w:val="21"/>
          <w:highlight w:val="none"/>
          <w:lang w:val="en-US" w:eastAsia="zh-CN" w:bidi="ar"/>
        </w:rPr>
        <w:t>35</w:t>
      </w:r>
      <w:r>
        <w:rPr>
          <w:rFonts w:hint="eastAsia" w:ascii="宋体" w:hAnsi="宋体" w:eastAsia="宋体" w:cs="宋体"/>
          <w:color w:val="auto"/>
          <w:kern w:val="0"/>
          <w:sz w:val="21"/>
          <w:szCs w:val="21"/>
          <w:highlight w:val="none"/>
          <w:lang w:val="zh-CN" w:eastAsia="zh-CN" w:bidi="ar"/>
        </w:rPr>
        <w:t>个监测点位，具体点位名称见附表；</w:t>
      </w:r>
    </w:p>
    <w:p w14:paraId="09AA5FA5">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2、监测项目：</w:t>
      </w:r>
      <w:r>
        <w:rPr>
          <w:rFonts w:hint="eastAsia" w:ascii="宋体" w:hAnsi="宋体" w:eastAsia="宋体" w:cs="宋体"/>
          <w:color w:val="auto"/>
          <w:kern w:val="0"/>
          <w:sz w:val="21"/>
          <w:szCs w:val="21"/>
          <w:highlight w:val="none"/>
          <w:lang w:val="en-US" w:eastAsia="zh-CN" w:bidi="ar"/>
        </w:rPr>
        <w:t>化学需氧量、氨氮、总磷、溶解氧</w:t>
      </w:r>
      <w:r>
        <w:rPr>
          <w:rFonts w:hint="eastAsia" w:ascii="宋体" w:hAnsi="宋体" w:eastAsia="宋体" w:cs="宋体"/>
          <w:color w:val="auto"/>
          <w:kern w:val="0"/>
          <w:sz w:val="21"/>
          <w:szCs w:val="21"/>
          <w:highlight w:val="none"/>
          <w:lang w:val="zh-CN" w:eastAsia="zh-CN" w:bidi="ar"/>
        </w:rPr>
        <w:t>共</w:t>
      </w:r>
      <w:r>
        <w:rPr>
          <w:rFonts w:hint="eastAsia" w:ascii="宋体" w:hAnsi="宋体" w:eastAsia="宋体" w:cs="宋体"/>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zh-CN" w:eastAsia="zh-CN" w:bidi="ar"/>
        </w:rPr>
        <w:t>项；</w:t>
      </w:r>
    </w:p>
    <w:p w14:paraId="2F32634F">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3、服务周期：2025年</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zh-CN" w:eastAsia="zh-CN" w:bidi="ar"/>
        </w:rPr>
        <w:t>月</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zh-CN" w:eastAsia="zh-CN" w:bidi="ar"/>
        </w:rPr>
        <w:t>日至2026年</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zh-CN" w:eastAsia="zh-CN" w:bidi="ar"/>
        </w:rPr>
        <w:t>月</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zh-CN" w:eastAsia="zh-CN" w:bidi="ar"/>
        </w:rPr>
        <w:t>日。</w:t>
      </w:r>
    </w:p>
    <w:p w14:paraId="76FE3CBD">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cs="宋体"/>
          <w:color w:val="auto"/>
          <w:kern w:val="0"/>
          <w:sz w:val="21"/>
          <w:szCs w:val="21"/>
          <w:highlight w:val="none"/>
          <w:lang w:val="zh-CN" w:eastAsia="zh-CN" w:bidi="ar"/>
        </w:rPr>
        <w:t>（</w:t>
      </w:r>
      <w:r>
        <w:rPr>
          <w:rFonts w:hint="eastAsia" w:ascii="宋体" w:hAnsi="宋体" w:eastAsia="宋体" w:cs="宋体"/>
          <w:color w:val="auto"/>
          <w:kern w:val="0"/>
          <w:sz w:val="21"/>
          <w:szCs w:val="21"/>
          <w:highlight w:val="none"/>
          <w:lang w:val="zh-CN" w:eastAsia="zh-CN" w:bidi="ar"/>
        </w:rPr>
        <w:t>三）监测报告要求</w:t>
      </w:r>
    </w:p>
    <w:p w14:paraId="65248F61">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报告应至少包括以下信息：</w:t>
      </w:r>
    </w:p>
    <w:p w14:paraId="0155525C">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1、报告的标识-编号；</w:t>
      </w:r>
    </w:p>
    <w:p w14:paraId="68A512FA">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2、检测日期和编制报告的日期；</w:t>
      </w:r>
    </w:p>
    <w:p w14:paraId="38CAD0E1">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3、监测依据及监测目的；</w:t>
      </w:r>
    </w:p>
    <w:p w14:paraId="3C610D1F">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4、分析项目及分析方法；</w:t>
      </w:r>
    </w:p>
    <w:p w14:paraId="66827076">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5、监测所用的主要设备，仪器等；</w:t>
      </w:r>
    </w:p>
    <w:p w14:paraId="48C172A5">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6、检测结果；</w:t>
      </w:r>
    </w:p>
    <w:p w14:paraId="77057E6F">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7、测试单位；</w:t>
      </w:r>
    </w:p>
    <w:p w14:paraId="5B8E2791">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8、报告签发要求三级审核；</w:t>
      </w:r>
    </w:p>
    <w:p w14:paraId="0FC1375A">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9、每期监测出具正式报告及监测数据单；</w:t>
      </w:r>
    </w:p>
    <w:p w14:paraId="0F9A78BF">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10、完整的现场采样、实验室分析及质控记录。</w:t>
      </w:r>
    </w:p>
    <w:p w14:paraId="6C5A2C8B">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cs="宋体"/>
          <w:color w:val="auto"/>
          <w:kern w:val="0"/>
          <w:sz w:val="21"/>
          <w:szCs w:val="21"/>
          <w:highlight w:val="none"/>
          <w:lang w:val="zh-CN" w:eastAsia="zh-CN" w:bidi="ar"/>
        </w:rPr>
        <w:t>（</w:t>
      </w:r>
      <w:r>
        <w:rPr>
          <w:rFonts w:hint="eastAsia" w:ascii="宋体" w:hAnsi="宋体" w:eastAsia="宋体" w:cs="宋体"/>
          <w:color w:val="auto"/>
          <w:kern w:val="0"/>
          <w:sz w:val="21"/>
          <w:szCs w:val="21"/>
          <w:highlight w:val="none"/>
          <w:lang w:val="zh-CN" w:eastAsia="zh-CN" w:bidi="ar"/>
        </w:rPr>
        <w:t>四）数据报送及综合分析报告要求</w:t>
      </w:r>
    </w:p>
    <w:p w14:paraId="5B9DDAC9">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1、每月</w:t>
      </w:r>
      <w:r>
        <w:rPr>
          <w:rFonts w:hint="eastAsia"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r>
        <w:rPr>
          <w:rFonts w:hint="eastAsia"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日集中</w:t>
      </w:r>
      <w:r>
        <w:rPr>
          <w:rFonts w:hint="eastAsia" w:ascii="宋体" w:hAnsi="宋体" w:eastAsia="宋体" w:cs="宋体"/>
          <w:color w:val="auto"/>
          <w:kern w:val="0"/>
          <w:sz w:val="21"/>
          <w:szCs w:val="21"/>
          <w:highlight w:val="none"/>
          <w:lang w:val="zh-CN" w:eastAsia="zh-CN" w:bidi="ar"/>
        </w:rPr>
        <w:t>采样，采样后</w:t>
      </w:r>
      <w:r>
        <w:rPr>
          <w:rFonts w:hint="eastAsia" w:ascii="宋体" w:hAnsi="宋体" w:eastAsia="宋体" w:cs="宋体"/>
          <w:color w:val="auto"/>
          <w:kern w:val="0"/>
          <w:sz w:val="21"/>
          <w:szCs w:val="21"/>
          <w:highlight w:val="none"/>
          <w:lang w:val="en-US" w:eastAsia="zh-CN" w:bidi="ar"/>
        </w:rPr>
        <w:t>5日内完成</w:t>
      </w:r>
      <w:r>
        <w:rPr>
          <w:rFonts w:hint="eastAsia" w:ascii="宋体" w:hAnsi="宋体" w:eastAsia="宋体" w:cs="宋体"/>
          <w:color w:val="auto"/>
          <w:kern w:val="0"/>
          <w:sz w:val="21"/>
          <w:szCs w:val="21"/>
          <w:highlight w:val="none"/>
          <w:lang w:val="zh-CN" w:eastAsia="zh-CN" w:bidi="ar"/>
        </w:rPr>
        <w:t>数据及监测报告的报送；</w:t>
      </w:r>
    </w:p>
    <w:p w14:paraId="7F827572">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zh-CN" w:eastAsia="zh-CN" w:bidi="ar"/>
        </w:rPr>
        <w:t>2、每月对监测数据进行综合分析，例如，分析数据较上月及同期变化趋势等，并于25日前完成综合分析报告。综合分析报告</w:t>
      </w:r>
      <w:r>
        <w:rPr>
          <w:rFonts w:hint="eastAsia" w:ascii="宋体" w:hAnsi="宋体" w:eastAsia="宋体" w:cs="宋体"/>
          <w:color w:val="auto"/>
          <w:kern w:val="0"/>
          <w:sz w:val="21"/>
          <w:szCs w:val="21"/>
          <w:highlight w:val="none"/>
          <w:lang w:val="en-US" w:eastAsia="zh-CN" w:bidi="ar"/>
        </w:rPr>
        <w:t>包括</w:t>
      </w:r>
      <w:r>
        <w:rPr>
          <w:rFonts w:hint="eastAsia" w:cs="宋体"/>
          <w:color w:val="auto"/>
          <w:kern w:val="0"/>
          <w:sz w:val="21"/>
          <w:szCs w:val="21"/>
          <w:highlight w:val="none"/>
          <w:lang w:val="en-US" w:eastAsia="zh-CN" w:bidi="ar"/>
        </w:rPr>
        <w:t>但</w:t>
      </w:r>
      <w:r>
        <w:rPr>
          <w:rFonts w:hint="eastAsia" w:ascii="宋体" w:hAnsi="宋体" w:eastAsia="宋体" w:cs="宋体"/>
          <w:color w:val="auto"/>
          <w:kern w:val="0"/>
          <w:sz w:val="21"/>
          <w:szCs w:val="21"/>
          <w:highlight w:val="none"/>
          <w:lang w:val="en-US" w:eastAsia="zh-CN" w:bidi="ar"/>
        </w:rPr>
        <w:t>不限于河长制断面水质监测情况简报、河长制监测断面水质类别月报表、河长制断面监测数据表、当月和1-当月河湖断面水质监测数据表、43个市考断面水质汇总表等。</w:t>
      </w:r>
    </w:p>
    <w:p w14:paraId="3DB7D564">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cs="宋体"/>
          <w:color w:val="auto"/>
          <w:kern w:val="0"/>
          <w:sz w:val="21"/>
          <w:szCs w:val="21"/>
          <w:highlight w:val="none"/>
          <w:lang w:val="zh-CN" w:eastAsia="zh-CN" w:bidi="ar"/>
        </w:rPr>
        <w:t>（</w:t>
      </w:r>
      <w:r>
        <w:rPr>
          <w:rFonts w:hint="eastAsia" w:ascii="宋体" w:hAnsi="宋体" w:eastAsia="宋体" w:cs="宋体"/>
          <w:color w:val="auto"/>
          <w:kern w:val="0"/>
          <w:sz w:val="21"/>
          <w:szCs w:val="21"/>
          <w:highlight w:val="none"/>
          <w:lang w:val="zh-CN" w:eastAsia="zh-CN" w:bidi="ar"/>
        </w:rPr>
        <w:t>五）质量控制要求</w:t>
      </w:r>
    </w:p>
    <w:p w14:paraId="5DB976CA">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1、质量保证：承接本次监测的组织机构、监测人员、监测仪器与设备设施等，应符合RB/T214、HJ630、《检验检测机构资质认定生态环境监测机构评审补充要求》(市场监管总局国市监检测(2018)245号)等相关内容。</w:t>
      </w:r>
    </w:p>
    <w:p w14:paraId="6F12364E">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2、质量控制：承接单位按照《地表水环境质量监测技术规范》(HJ91.2-2022)、《环境监测质量管理技术导则》(HJ630-2011)，以及相应标准分析方法的规定和要求，做好监测分析全程序质控工作，包括采样质量控制和实验室分析质量控制等相关内容，按照相关技术规范要求进行样品保存。</w:t>
      </w:r>
    </w:p>
    <w:p w14:paraId="7016C1BF">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zh-CN" w:eastAsia="zh-CN" w:bidi="ar"/>
        </w:rPr>
        <w:t>.内部质控：现场监测需遵守规范要求，质控样品每批次需按照10%的频次采集全程序空白样、现场明码、密码平行样；实验室分析每批次需按照10%的频次开展实验室空白、平行样、加标样或明码、密码质控样等自控程序，做好分析质量保证工作；</w:t>
      </w:r>
    </w:p>
    <w:p w14:paraId="189EB848">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zh-CN" w:eastAsia="zh-CN" w:bidi="ar"/>
        </w:rPr>
        <w:t>.外部质控：每月与市监测站开展至少</w:t>
      </w:r>
      <w:r>
        <w:rPr>
          <w:rFonts w:hint="eastAsia" w:ascii="宋体" w:hAnsi="宋体" w:eastAsia="宋体" w:cs="宋体"/>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zh-CN" w:eastAsia="zh-CN" w:bidi="ar"/>
        </w:rPr>
        <w:t>个断面的实验室间同步比对工作，比对结果需满足实验室间偏差要求，否则应查找原因，及时开展复测等工作；需接受市监测站不定期现场质量监督和盲样考核。</w:t>
      </w:r>
    </w:p>
    <w:p w14:paraId="26853ED7">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zh-CN" w:eastAsia="zh-CN" w:bidi="ar"/>
        </w:rPr>
        <w:t>3.保留监测全过程的影视资料，采样时要求双机位，准确清晰地记录采样环境及全程操作。</w:t>
      </w:r>
    </w:p>
    <w:p w14:paraId="2BF30F1C">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cs="宋体"/>
          <w:color w:val="auto"/>
          <w:kern w:val="0"/>
          <w:sz w:val="21"/>
          <w:szCs w:val="21"/>
          <w:highlight w:val="none"/>
          <w:lang w:val="zh-CN" w:eastAsia="zh-CN" w:bidi="ar"/>
        </w:rPr>
        <w:t>（</w:t>
      </w:r>
      <w:r>
        <w:rPr>
          <w:rFonts w:hint="eastAsia" w:ascii="宋体" w:hAnsi="宋体" w:eastAsia="宋体" w:cs="宋体"/>
          <w:color w:val="auto"/>
          <w:kern w:val="0"/>
          <w:sz w:val="21"/>
          <w:szCs w:val="21"/>
          <w:highlight w:val="none"/>
          <w:lang w:val="en-US" w:eastAsia="zh-CN" w:bidi="ar"/>
        </w:rPr>
        <w:t>六）其他：</w:t>
      </w:r>
    </w:p>
    <w:p w14:paraId="431C25DA">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en-US" w:eastAsia="zh-CN" w:bidi="ar"/>
        </w:rPr>
        <w:t>1、乙方服务期间，若因工作需要，需对监测点位进行调整的，以甲方通知为准。</w:t>
      </w:r>
    </w:p>
    <w:p w14:paraId="176592C9">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zh-CN" w:eastAsia="zh-CN" w:bidi="ar"/>
        </w:rPr>
        <w:t>本项目严禁采取转包方式履行合同。</w:t>
      </w:r>
    </w:p>
    <w:p w14:paraId="4006A42B">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zh-CN" w:eastAsia="zh-CN" w:bidi="ar"/>
        </w:rPr>
        <w:t>本项目不允许分包，</w:t>
      </w:r>
      <w:r>
        <w:rPr>
          <w:rFonts w:hint="eastAsia" w:ascii="宋体" w:hAnsi="宋体" w:eastAsia="宋体" w:cs="宋体"/>
          <w:color w:val="auto"/>
          <w:kern w:val="0"/>
          <w:sz w:val="21"/>
          <w:szCs w:val="21"/>
          <w:highlight w:val="none"/>
          <w:lang w:val="en-US" w:eastAsia="zh-CN" w:bidi="ar"/>
        </w:rPr>
        <w:t>乙方</w:t>
      </w:r>
      <w:r>
        <w:rPr>
          <w:rFonts w:hint="eastAsia" w:ascii="宋体" w:hAnsi="宋体" w:eastAsia="宋体" w:cs="宋体"/>
          <w:color w:val="auto"/>
          <w:kern w:val="0"/>
          <w:sz w:val="21"/>
          <w:szCs w:val="21"/>
          <w:highlight w:val="none"/>
          <w:lang w:val="zh-CN" w:eastAsia="zh-CN" w:bidi="ar"/>
        </w:rPr>
        <w:t>在成交后不得将成交项目主体、关键性工作交由他人完成的。</w:t>
      </w:r>
    </w:p>
    <w:p w14:paraId="14DA35AF">
      <w:pPr>
        <w:keepNext w:val="0"/>
        <w:keepLines w:val="0"/>
        <w:pageBreakBefore w:val="0"/>
        <w:widowControl/>
        <w:numPr>
          <w:ilvl w:val="0"/>
          <w:numId w:val="1"/>
        </w:numPr>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双方的权利和义务 </w:t>
      </w:r>
    </w:p>
    <w:p w14:paraId="360CB322">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（一）甲方的权利与义务 </w:t>
      </w:r>
    </w:p>
    <w:p w14:paraId="2E7E5889">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1.甲方负责配合本次项目服务工作；</w:t>
      </w:r>
    </w:p>
    <w:p w14:paraId="0E8E3EA4">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2.甲方应按本合同的约定向乙方支付合同价款；</w:t>
      </w:r>
    </w:p>
    <w:p w14:paraId="06C0D6B2">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3.甲方根据需要对乙方提供的方案进行审核，提供建议及意见，确定最终实施的服务方案，以便乙方遵照执行；</w:t>
      </w:r>
    </w:p>
    <w:p w14:paraId="332F91B6">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4.甲方有权对乙方的工作进行监督和考核。</w:t>
      </w:r>
    </w:p>
    <w:p w14:paraId="62F33CBA">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5.乙方的监测数据未经允许私自外泄，甲方可根据实际情况要求赔偿并予以处罚。 </w:t>
      </w:r>
    </w:p>
    <w:p w14:paraId="098F9FA2">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（二）乙方的权利与义务 </w:t>
      </w:r>
    </w:p>
    <w:p w14:paraId="52A75F4E">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cs="宋体"/>
          <w:color w:val="auto"/>
          <w:kern w:val="0"/>
          <w:sz w:val="21"/>
          <w:szCs w:val="21"/>
          <w:highlight w:val="none"/>
          <w:lang w:val="en-US" w:eastAsia="zh-CN" w:bidi="ar"/>
        </w:rPr>
      </w:pPr>
      <w:r>
        <w:rPr>
          <w:rFonts w:hint="eastAsia" w:cs="宋体"/>
          <w:color w:val="auto"/>
          <w:kern w:val="0"/>
          <w:sz w:val="21"/>
          <w:szCs w:val="21"/>
          <w:highlight w:val="none"/>
          <w:lang w:val="en-US" w:eastAsia="zh-CN" w:bidi="ar"/>
        </w:rPr>
        <w:t>1.乙方的工作人员必须严格遵守甲方的规章制度，以良好的形象和积极的工作态度，按甲方要求开展工作；</w:t>
      </w:r>
    </w:p>
    <w:p w14:paraId="00B8A1BB">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cs="宋体"/>
          <w:color w:val="auto"/>
          <w:kern w:val="0"/>
          <w:sz w:val="21"/>
          <w:szCs w:val="21"/>
          <w:highlight w:val="none"/>
          <w:lang w:val="en-US" w:eastAsia="zh-CN" w:bidi="ar"/>
        </w:rPr>
      </w:pPr>
      <w:r>
        <w:rPr>
          <w:rFonts w:hint="eastAsia" w:cs="宋体"/>
          <w:color w:val="auto"/>
          <w:kern w:val="0"/>
          <w:sz w:val="21"/>
          <w:szCs w:val="21"/>
          <w:highlight w:val="none"/>
          <w:lang w:val="en-US" w:eastAsia="zh-CN" w:bidi="ar"/>
        </w:rPr>
        <w:t>2.乙方应服从甲方统筹管理并按流程开展工作；</w:t>
      </w:r>
    </w:p>
    <w:p w14:paraId="2E2C1D64">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cs="宋体"/>
          <w:color w:val="auto"/>
          <w:kern w:val="0"/>
          <w:sz w:val="21"/>
          <w:szCs w:val="21"/>
          <w:highlight w:val="none"/>
          <w:lang w:val="en-US" w:eastAsia="zh-CN" w:bidi="ar"/>
        </w:rPr>
      </w:pPr>
      <w:r>
        <w:rPr>
          <w:rFonts w:hint="eastAsia" w:cs="宋体"/>
          <w:color w:val="auto"/>
          <w:kern w:val="0"/>
          <w:sz w:val="21"/>
          <w:szCs w:val="21"/>
          <w:highlight w:val="none"/>
          <w:lang w:val="en-US" w:eastAsia="zh-CN" w:bidi="ar"/>
        </w:rPr>
        <w:t>3.乙方保证安排的相关人员需按照指定时间到达指定地点进行服务，乙方在活动时间内不得迟到早退，如有特殊情况，必须事先通知并征得甲方同意；</w:t>
      </w:r>
    </w:p>
    <w:p w14:paraId="517C796F">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cs="宋体"/>
          <w:color w:val="auto"/>
          <w:kern w:val="0"/>
          <w:sz w:val="21"/>
          <w:szCs w:val="21"/>
          <w:highlight w:val="none"/>
          <w:lang w:val="en-US" w:eastAsia="zh-CN" w:bidi="ar"/>
        </w:rPr>
        <w:t>4.乙方提交的方案等应得到甲方确认再予以实施。</w:t>
      </w:r>
      <w:r>
        <w:rPr>
          <w:rFonts w:hint="eastAsia" w:ascii="宋体" w:hAnsi="宋体" w:eastAsia="宋体" w:cs="宋体"/>
          <w:color w:val="auto"/>
          <w:kern w:val="0"/>
          <w:sz w:val="21"/>
          <w:szCs w:val="21"/>
          <w:highlight w:val="none"/>
          <w:lang w:val="en-US" w:eastAsia="zh-CN" w:bidi="ar"/>
        </w:rPr>
        <w:t xml:space="preserve"> </w:t>
      </w:r>
    </w:p>
    <w:p w14:paraId="301458CC">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七、服务质量保证 </w:t>
      </w:r>
    </w:p>
    <w:p w14:paraId="1B24F33D">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1、乙方需建立高效的管理团队，项目团队组成合理。 </w:t>
      </w:r>
    </w:p>
    <w:p w14:paraId="0E3D1891">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2、乙方需派一名项目负责人，直接与甲方沟通，项目经理接收甲方提出的问题与要求，并及时反馈给工作组，解决在项目实施过程中遇到的问题。 </w:t>
      </w:r>
    </w:p>
    <w:p w14:paraId="12C1B0A9">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3、项目在实施过程中会出现不可预料的需求变更，乙方需积极配合甲方的需求变更，并按照变更后的需求继续实施。 </w:t>
      </w:r>
    </w:p>
    <w:p w14:paraId="56C67094">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4、乙方需设有详细的技术资料档案和服务档案以便于更好地提供服务，项目结束后乙方须向甲方提交所有实施方案流程及说明文档。 </w:t>
      </w:r>
    </w:p>
    <w:p w14:paraId="3D1730A4">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八、保密规定 </w:t>
      </w:r>
    </w:p>
    <w:p w14:paraId="03C9B570">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甲、乙双方应永久恪守因签署或履行本合同而获知的对方秘密信息及其它秘密资料。任何一方如将获知的对方秘密信息泄露给第三方，应赔偿因泄密而给对方造成的一切损失并承担相应的法律责任（包括刑事责任）。 </w:t>
      </w:r>
    </w:p>
    <w:p w14:paraId="53A6F5A3">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九、其他事项 </w:t>
      </w:r>
    </w:p>
    <w:p w14:paraId="639A1F28">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1、乙方不得转让、分包给其它单位或个人。 </w:t>
      </w:r>
    </w:p>
    <w:p w14:paraId="7161BEBD">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2、乙方的响应文件和承诺等内容将列入合同。 </w:t>
      </w:r>
    </w:p>
    <w:p w14:paraId="693240F1">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十、验收 </w:t>
      </w:r>
    </w:p>
    <w:p w14:paraId="4F345506">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（一）本项目验收费用，由乙方自行承担。 </w:t>
      </w:r>
    </w:p>
    <w:p w14:paraId="6FCD7BBC">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二）服务期满后，由乙方向甲方递交验收通知书，经甲方确认后，组织乙方进行系统验收（必要时甲方可委托具有相关资质的第三方检测机构/技术专家对本次服务进行系统验收，需要国家法定检验部门进行检验或验收的由乙方负责联系）。验收合格后，填写政府采购项目验收单作为对本次服务的最终认可。 </w:t>
      </w:r>
    </w:p>
    <w:p w14:paraId="047A06C2">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（三）验收依据： </w:t>
      </w:r>
    </w:p>
    <w:p w14:paraId="1426D119">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（1）本合同及附加文本； </w:t>
      </w:r>
    </w:p>
    <w:p w14:paraId="79EB4E2D">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（2）磋商文件、成交供应商的响应文件及澄清（承诺）函； </w:t>
      </w:r>
    </w:p>
    <w:p w14:paraId="484B6818">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（3）国家相应的标准、规范</w:t>
      </w:r>
      <w:r>
        <w:rPr>
          <w:rFonts w:hint="eastAsia" w:cs="宋体"/>
          <w:color w:val="auto"/>
          <w:kern w:val="0"/>
          <w:sz w:val="21"/>
          <w:szCs w:val="21"/>
          <w:highlight w:val="none"/>
          <w:lang w:val="en-US" w:eastAsia="zh-CN" w:bidi="ar"/>
        </w:rPr>
        <w:t>；</w:t>
      </w:r>
    </w:p>
    <w:p w14:paraId="056E4E94">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default" w:cs="宋体"/>
          <w:color w:val="auto"/>
          <w:kern w:val="0"/>
          <w:sz w:val="21"/>
          <w:szCs w:val="21"/>
          <w:highlight w:val="none"/>
          <w:lang w:val="en-US" w:eastAsia="zh-CN" w:bidi="ar"/>
        </w:rPr>
      </w:pPr>
      <w:r>
        <w:rPr>
          <w:rFonts w:hint="eastAsia" w:cs="宋体"/>
          <w:color w:val="auto"/>
          <w:kern w:val="0"/>
          <w:sz w:val="21"/>
          <w:szCs w:val="21"/>
          <w:highlight w:val="none"/>
          <w:lang w:val="en-US" w:eastAsia="zh-CN" w:bidi="ar"/>
        </w:rPr>
        <w:t>（4）监测报告原件（同时提交扫描件）；</w:t>
      </w:r>
    </w:p>
    <w:p w14:paraId="0527A3F9">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default" w:cs="宋体"/>
          <w:color w:val="auto"/>
          <w:kern w:val="0"/>
          <w:sz w:val="21"/>
          <w:szCs w:val="21"/>
          <w:highlight w:val="none"/>
          <w:lang w:val="en-US" w:eastAsia="zh-CN" w:bidi="ar"/>
        </w:rPr>
      </w:pPr>
      <w:r>
        <w:rPr>
          <w:rFonts w:hint="eastAsia" w:cs="宋体"/>
          <w:color w:val="auto"/>
          <w:kern w:val="0"/>
          <w:sz w:val="21"/>
          <w:szCs w:val="21"/>
          <w:highlight w:val="none"/>
          <w:lang w:val="en-US" w:eastAsia="zh-CN" w:bidi="ar"/>
        </w:rPr>
        <w:t>（5）原始记录复印件（同时提交扫描件）；</w:t>
      </w:r>
    </w:p>
    <w:p w14:paraId="21FC8ED1">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default" w:cs="宋体"/>
          <w:color w:val="auto"/>
          <w:kern w:val="0"/>
          <w:sz w:val="21"/>
          <w:szCs w:val="21"/>
          <w:highlight w:val="none"/>
          <w:lang w:val="en-US" w:eastAsia="zh-CN" w:bidi="ar"/>
        </w:rPr>
      </w:pPr>
      <w:r>
        <w:rPr>
          <w:rFonts w:hint="eastAsia" w:cs="宋体"/>
          <w:color w:val="auto"/>
          <w:kern w:val="0"/>
          <w:sz w:val="21"/>
          <w:szCs w:val="21"/>
          <w:highlight w:val="none"/>
          <w:lang w:val="en-US" w:eastAsia="zh-CN" w:bidi="ar"/>
        </w:rPr>
        <w:t>（6）验收报告（含质控措施开展情况，仪器、人员合规情况等能够证明合同履约情况的说明及附件）。</w:t>
      </w:r>
    </w:p>
    <w:p w14:paraId="1C041D24">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十一、违约责任 </w:t>
      </w:r>
    </w:p>
    <w:p w14:paraId="62406A38">
      <w:pPr>
        <w:shd w:val="clear"/>
        <w:spacing w:line="500" w:lineRule="exact"/>
        <w:ind w:firstLine="420" w:firstLineChars="200"/>
        <w:rPr>
          <w:color w:val="auto"/>
          <w:sz w:val="21"/>
          <w:szCs w:val="21"/>
          <w:highlight w:val="none"/>
          <w:lang w:eastAsia="zh-CN"/>
        </w:rPr>
      </w:pPr>
      <w:r>
        <w:rPr>
          <w:rFonts w:hint="eastAsia"/>
          <w:color w:val="auto"/>
          <w:sz w:val="21"/>
          <w:szCs w:val="21"/>
          <w:highlight w:val="none"/>
          <w:lang w:eastAsia="zh-CN"/>
        </w:rPr>
        <w:t>1、任何一方未履行本合同项下的条款均被视为违约。除因不可抗力（即因地震、火灾等自然灾害、战争、罢工、停电、政府和军队行为等）造成合同无法履行外，任何一方不得单方面中止合同。</w:t>
      </w:r>
    </w:p>
    <w:p w14:paraId="03A3E441">
      <w:pPr>
        <w:shd w:val="clear"/>
        <w:spacing w:line="500" w:lineRule="exact"/>
        <w:ind w:firstLine="420" w:firstLineChars="200"/>
        <w:rPr>
          <w:rFonts w:hint="eastAsia"/>
          <w:color w:val="auto"/>
          <w:sz w:val="21"/>
          <w:szCs w:val="21"/>
          <w:highlight w:val="none"/>
          <w:lang w:eastAsia="zh-CN"/>
        </w:rPr>
      </w:pPr>
      <w:r>
        <w:rPr>
          <w:rFonts w:hint="eastAsia"/>
          <w:color w:val="auto"/>
          <w:sz w:val="21"/>
          <w:szCs w:val="21"/>
          <w:highlight w:val="none"/>
          <w:lang w:eastAsia="zh-CN"/>
        </w:rPr>
        <w:t>2、任何一方违反合同所规定条款，均构成违约，违约方必须承担由此给对方造成的经济损失。</w:t>
      </w:r>
    </w:p>
    <w:p w14:paraId="70CCC586">
      <w:pPr>
        <w:shd w:val="clear"/>
        <w:spacing w:line="500" w:lineRule="exact"/>
        <w:ind w:firstLine="420" w:firstLineChars="200"/>
        <w:rPr>
          <w:rFonts w:hint="eastAsia"/>
          <w:color w:val="auto"/>
          <w:sz w:val="21"/>
          <w:szCs w:val="21"/>
          <w:highlight w:val="none"/>
          <w:lang w:eastAsia="zh-CN"/>
        </w:rPr>
      </w:pPr>
      <w:r>
        <w:rPr>
          <w:rFonts w:hint="eastAsia"/>
          <w:color w:val="auto"/>
          <w:sz w:val="21"/>
          <w:szCs w:val="21"/>
          <w:highlight w:val="none"/>
          <w:lang w:eastAsia="zh-CN"/>
        </w:rPr>
        <w:t>3、乙方在履行本合同中给甲方、自身及第三者造成的任何损害，乙方应承担全部赔偿责任。</w:t>
      </w:r>
    </w:p>
    <w:p w14:paraId="5B9CB0E2">
      <w:pPr>
        <w:shd w:val="clear"/>
        <w:spacing w:line="500" w:lineRule="exact"/>
        <w:ind w:firstLine="420" w:firstLineChars="200"/>
        <w:rPr>
          <w:rFonts w:hint="eastAsia"/>
          <w:color w:val="auto"/>
          <w:sz w:val="21"/>
          <w:szCs w:val="21"/>
          <w:highlight w:val="none"/>
          <w:lang w:eastAsia="zh-CN"/>
        </w:rPr>
      </w:pPr>
      <w:r>
        <w:rPr>
          <w:rFonts w:hint="eastAsia"/>
          <w:color w:val="auto"/>
          <w:sz w:val="21"/>
          <w:szCs w:val="21"/>
          <w:highlight w:val="none"/>
          <w:lang w:eastAsia="zh-CN"/>
        </w:rPr>
        <w:t>4、乙方实际监测完成率低于85%的，视为不合格。乙方应当按照合同总价款30%向甲方承担违约责任。如在合同履行过程中，甲方发现乙方监测结果出现质量问题，有权责令乙方在指定期限内予以改正并扣除该次监测费用。甲方发现乙方监测结果弄虚作假的或有严重质量问题的，甲方有权要求乙方返还全部已支付费用并按照总价款30%违约金，同时甲方享有单方解除权。</w:t>
      </w:r>
    </w:p>
    <w:p w14:paraId="558B027B">
      <w:pPr>
        <w:shd w:val="clear"/>
        <w:spacing w:line="500" w:lineRule="exact"/>
        <w:ind w:firstLine="420" w:firstLineChars="200"/>
        <w:rPr>
          <w:color w:val="auto"/>
          <w:sz w:val="21"/>
          <w:szCs w:val="21"/>
          <w:highlight w:val="none"/>
          <w:lang w:eastAsia="zh-CN"/>
        </w:rPr>
      </w:pPr>
      <w:r>
        <w:rPr>
          <w:rFonts w:hint="eastAsia"/>
          <w:color w:val="auto"/>
          <w:sz w:val="21"/>
          <w:szCs w:val="21"/>
          <w:highlight w:val="none"/>
          <w:lang w:eastAsia="zh-CN"/>
        </w:rPr>
        <w:t>5、依据《中华人民共和国民法典》、《中华人民共和国政府采购法》的相关条款和本合同约定，乙方未全面履行合同义务或者发生违约，甲方有权终止合同，依法向乙方要求经济索赔，并报请政府采购监督管理机关进行相应的行政处罚。甲方违约的，应当赔偿给乙方造成的经济损失。</w:t>
      </w:r>
    </w:p>
    <w:p w14:paraId="59648558">
      <w:pPr>
        <w:shd w:val="clear"/>
        <w:spacing w:line="500" w:lineRule="exact"/>
        <w:ind w:firstLine="422" w:firstLineChars="200"/>
        <w:rPr>
          <w:b/>
          <w:color w:val="auto"/>
          <w:sz w:val="21"/>
          <w:szCs w:val="21"/>
          <w:highlight w:val="none"/>
          <w:lang w:eastAsia="zh-CN"/>
        </w:rPr>
      </w:pPr>
      <w:r>
        <w:rPr>
          <w:rFonts w:hint="eastAsia"/>
          <w:b/>
          <w:color w:val="auto"/>
          <w:sz w:val="21"/>
          <w:szCs w:val="21"/>
          <w:highlight w:val="none"/>
          <w:lang w:eastAsia="zh-CN"/>
        </w:rPr>
        <w:t>十</w:t>
      </w:r>
      <w:r>
        <w:rPr>
          <w:rFonts w:hint="eastAsia"/>
          <w:b/>
          <w:color w:val="auto"/>
          <w:sz w:val="21"/>
          <w:szCs w:val="21"/>
          <w:highlight w:val="none"/>
          <w:lang w:val="en-US" w:eastAsia="zh-CN"/>
        </w:rPr>
        <w:t>二</w:t>
      </w:r>
      <w:r>
        <w:rPr>
          <w:rFonts w:hint="eastAsia"/>
          <w:b/>
          <w:color w:val="auto"/>
          <w:sz w:val="21"/>
          <w:szCs w:val="21"/>
          <w:highlight w:val="none"/>
          <w:lang w:eastAsia="zh-CN"/>
        </w:rPr>
        <w:t>、监督和管理</w:t>
      </w:r>
    </w:p>
    <w:p w14:paraId="417EA81B">
      <w:pPr>
        <w:shd w:val="clear"/>
        <w:spacing w:line="500" w:lineRule="exact"/>
        <w:ind w:firstLine="420" w:firstLineChars="200"/>
        <w:rPr>
          <w:bCs/>
          <w:color w:val="auto"/>
          <w:sz w:val="21"/>
          <w:szCs w:val="21"/>
          <w:highlight w:val="none"/>
          <w:lang w:eastAsia="zh-CN"/>
        </w:rPr>
      </w:pPr>
      <w:r>
        <w:rPr>
          <w:rFonts w:hint="eastAsia"/>
          <w:bCs/>
          <w:color w:val="auto"/>
          <w:sz w:val="21"/>
          <w:szCs w:val="21"/>
          <w:highlight w:val="none"/>
          <w:lang w:eastAsia="zh-CN"/>
        </w:rPr>
        <w:t>1、政府采购合同履行中，甲方需追加与合同标的相同的工程或者服务的，在不改变合同其他条款的前提下，可以与乙方协商签订补充合同，但所有补充合同的采购金额不得超过原合同采购金额的百分之十。</w:t>
      </w:r>
    </w:p>
    <w:p w14:paraId="0BD3145B">
      <w:pPr>
        <w:shd w:val="clear"/>
        <w:spacing w:line="500" w:lineRule="exact"/>
        <w:ind w:firstLine="420" w:firstLineChars="200"/>
        <w:rPr>
          <w:bCs/>
          <w:color w:val="auto"/>
          <w:sz w:val="21"/>
          <w:szCs w:val="21"/>
          <w:highlight w:val="none"/>
          <w:lang w:eastAsia="zh-CN"/>
        </w:rPr>
      </w:pPr>
      <w:r>
        <w:rPr>
          <w:rFonts w:hint="eastAsia"/>
          <w:bCs/>
          <w:color w:val="auto"/>
          <w:sz w:val="21"/>
          <w:szCs w:val="21"/>
          <w:highlight w:val="none"/>
          <w:lang w:eastAsia="zh-CN"/>
        </w:rPr>
        <w:t>2、甲乙双方均应自觉配合有关监督管理部门对合同履行情况的监督检查，如实反映情况，提供有关资料；否则，将对有关单位、当事人按照有关规定予以处罚。</w:t>
      </w:r>
    </w:p>
    <w:p w14:paraId="2B6CB5DC">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十三、合同争议解决的方式 </w:t>
      </w:r>
    </w:p>
    <w:p w14:paraId="7EFBF48C">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1、本合同须经甲、乙双方的法定代表人（授权代表）在合同书上签字并加盖本单位公章后正式生效。 </w:t>
      </w:r>
    </w:p>
    <w:p w14:paraId="224C1E0E">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2、合同生效后，甲、乙双方须严格执行本合同条款的规定，全面履行合同，违者按《中华人民共和国民法典》的有关规定承担相应责任。 </w:t>
      </w:r>
    </w:p>
    <w:p w14:paraId="6A8631F9">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lang w:eastAsia="zh-CN"/>
        </w:rPr>
        <w:t>双方因履行本合同而引起的争议或与本合同有关的争议，双方通过友好协商解决。协商不成，双方均应向甲方住所地人民法院诉讼解决。</w:t>
      </w:r>
    </w:p>
    <w:p w14:paraId="48A49E38">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4、本合同一式</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份，甲乙双方各执</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 xml:space="preserve">份。 </w:t>
      </w:r>
    </w:p>
    <w:p w14:paraId="72AE3197">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5、本合同如有未尽事宜，甲、乙双方协商解决。 </w:t>
      </w:r>
    </w:p>
    <w:p w14:paraId="6B1D5BB4">
      <w:pPr>
        <w:shd w:val="clear"/>
        <w:rPr>
          <w:rFonts w:hint="eastAsia"/>
          <w:color w:val="auto"/>
          <w:sz w:val="21"/>
          <w:szCs w:val="21"/>
          <w:highlight w:val="none"/>
          <w:lang w:eastAsia="zh-CN"/>
        </w:rPr>
      </w:pPr>
      <w:r>
        <w:rPr>
          <w:rFonts w:hint="eastAsia"/>
          <w:color w:val="auto"/>
          <w:sz w:val="21"/>
          <w:szCs w:val="21"/>
          <w:highlight w:val="none"/>
          <w:lang w:eastAsia="zh-CN"/>
        </w:rPr>
        <w:br w:type="page"/>
      </w:r>
    </w:p>
    <w:p w14:paraId="6A2A71DD">
      <w:pPr>
        <w:shd w:val="clear"/>
        <w:adjustRightInd w:val="0"/>
        <w:snapToGrid w:val="0"/>
        <w:spacing w:line="500" w:lineRule="exact"/>
        <w:ind w:firstLine="415" w:firstLineChars="198"/>
        <w:rPr>
          <w:rFonts w:hint="eastAsia"/>
          <w:color w:val="auto"/>
          <w:sz w:val="21"/>
          <w:szCs w:val="21"/>
          <w:highlight w:val="none"/>
          <w:lang w:val="en-US" w:eastAsia="zh-CN"/>
        </w:rPr>
      </w:pPr>
      <w:r>
        <w:rPr>
          <w:rFonts w:hint="eastAsia"/>
          <w:color w:val="auto"/>
          <w:sz w:val="21"/>
          <w:szCs w:val="21"/>
          <w:highlight w:val="none"/>
          <w:lang w:val="en-US" w:eastAsia="zh-CN"/>
        </w:rPr>
        <w:t>本页为签章页，无正文。</w:t>
      </w:r>
    </w:p>
    <w:p w14:paraId="06DEDB77">
      <w:pPr>
        <w:pStyle w:val="2"/>
        <w:shd w:val="clear"/>
        <w:rPr>
          <w:rFonts w:hint="default"/>
          <w:highlight w:val="none"/>
          <w:lang w:val="en-US" w:eastAsia="zh-CN"/>
        </w:rPr>
      </w:pPr>
    </w:p>
    <w:p w14:paraId="70E72B8D">
      <w:pPr>
        <w:shd w:val="clear"/>
        <w:adjustRightInd w:val="0"/>
        <w:snapToGrid w:val="0"/>
        <w:spacing w:line="500" w:lineRule="exact"/>
        <w:ind w:firstLine="415" w:firstLineChars="198"/>
        <w:rPr>
          <w:color w:val="auto"/>
          <w:sz w:val="21"/>
          <w:szCs w:val="21"/>
          <w:highlight w:val="none"/>
          <w:lang w:eastAsia="zh-CN"/>
        </w:rPr>
      </w:pPr>
      <w:r>
        <w:rPr>
          <w:rFonts w:hint="eastAsia"/>
          <w:color w:val="auto"/>
          <w:sz w:val="21"/>
          <w:szCs w:val="21"/>
          <w:highlight w:val="none"/>
          <w:lang w:eastAsia="zh-CN"/>
        </w:rPr>
        <w:t>甲方：</w:t>
      </w:r>
      <w:r>
        <w:rPr>
          <w:rFonts w:hint="eastAsia"/>
          <w:color w:val="auto"/>
          <w:sz w:val="21"/>
          <w:szCs w:val="21"/>
          <w:highlight w:val="none"/>
          <w:u w:val="single"/>
          <w:lang w:eastAsia="zh-CN"/>
        </w:rPr>
        <w:t xml:space="preserve">   （盖章）         </w:t>
      </w:r>
      <w:r>
        <w:rPr>
          <w:rFonts w:hint="eastAsia"/>
          <w:color w:val="auto"/>
          <w:sz w:val="21"/>
          <w:szCs w:val="21"/>
          <w:highlight w:val="none"/>
          <w:lang w:eastAsia="zh-CN"/>
        </w:rPr>
        <w:t xml:space="preserve">                        乙方：</w:t>
      </w:r>
      <w:r>
        <w:rPr>
          <w:rFonts w:hint="eastAsia"/>
          <w:color w:val="auto"/>
          <w:sz w:val="21"/>
          <w:szCs w:val="21"/>
          <w:highlight w:val="none"/>
          <w:u w:val="single"/>
          <w:lang w:eastAsia="zh-CN"/>
        </w:rPr>
        <w:t xml:space="preserve">      （盖章）     </w:t>
      </w:r>
    </w:p>
    <w:p w14:paraId="63741FC2">
      <w:pPr>
        <w:shd w:val="clear"/>
        <w:adjustRightInd w:val="0"/>
        <w:snapToGrid w:val="0"/>
        <w:spacing w:line="500" w:lineRule="exact"/>
        <w:ind w:firstLine="415" w:firstLineChars="198"/>
        <w:rPr>
          <w:color w:val="auto"/>
          <w:sz w:val="21"/>
          <w:szCs w:val="21"/>
          <w:highlight w:val="none"/>
          <w:lang w:eastAsia="zh-CN"/>
        </w:rPr>
      </w:pPr>
      <w:r>
        <w:rPr>
          <w:rFonts w:hint="eastAsia"/>
          <w:color w:val="auto"/>
          <w:sz w:val="21"/>
          <w:szCs w:val="21"/>
          <w:highlight w:val="none"/>
          <w:lang w:eastAsia="zh-CN"/>
        </w:rPr>
        <w:t>地  址：</w:t>
      </w:r>
      <w:r>
        <w:rPr>
          <w:rFonts w:hint="eastAsia"/>
          <w:color w:val="auto"/>
          <w:sz w:val="21"/>
          <w:szCs w:val="21"/>
          <w:highlight w:val="none"/>
          <w:u w:val="single"/>
          <w:lang w:eastAsia="zh-CN"/>
        </w:rPr>
        <w:t xml:space="preserve">                    </w:t>
      </w:r>
      <w:r>
        <w:rPr>
          <w:rFonts w:hint="eastAsia"/>
          <w:color w:val="auto"/>
          <w:sz w:val="21"/>
          <w:szCs w:val="21"/>
          <w:highlight w:val="none"/>
          <w:lang w:eastAsia="zh-CN"/>
        </w:rPr>
        <w:t xml:space="preserve">                      地  址：</w:t>
      </w:r>
      <w:r>
        <w:rPr>
          <w:rFonts w:hint="eastAsia"/>
          <w:color w:val="auto"/>
          <w:sz w:val="21"/>
          <w:szCs w:val="21"/>
          <w:highlight w:val="none"/>
          <w:u w:val="single"/>
          <w:lang w:eastAsia="zh-CN"/>
        </w:rPr>
        <w:t xml:space="preserve">                     </w:t>
      </w:r>
    </w:p>
    <w:p w14:paraId="08E34A11">
      <w:pPr>
        <w:shd w:val="clear"/>
        <w:adjustRightInd w:val="0"/>
        <w:snapToGrid w:val="0"/>
        <w:spacing w:line="500" w:lineRule="exact"/>
        <w:ind w:firstLine="420" w:firstLineChars="200"/>
        <w:rPr>
          <w:color w:val="auto"/>
          <w:sz w:val="21"/>
          <w:szCs w:val="21"/>
          <w:highlight w:val="none"/>
          <w:lang w:eastAsia="zh-CN"/>
        </w:rPr>
      </w:pPr>
      <w:r>
        <w:rPr>
          <w:rFonts w:hint="eastAsia"/>
          <w:color w:val="auto"/>
          <w:sz w:val="21"/>
          <w:szCs w:val="21"/>
          <w:highlight w:val="none"/>
          <w:lang w:eastAsia="zh-CN"/>
        </w:rPr>
        <w:t>邮政编码：</w:t>
      </w:r>
      <w:r>
        <w:rPr>
          <w:rFonts w:hint="eastAsia"/>
          <w:color w:val="auto"/>
          <w:sz w:val="21"/>
          <w:szCs w:val="21"/>
          <w:highlight w:val="none"/>
          <w:u w:val="single"/>
          <w:lang w:eastAsia="zh-CN"/>
        </w:rPr>
        <w:t xml:space="preserve">                 </w:t>
      </w:r>
      <w:r>
        <w:rPr>
          <w:rFonts w:hint="eastAsia"/>
          <w:color w:val="auto"/>
          <w:sz w:val="21"/>
          <w:szCs w:val="21"/>
          <w:highlight w:val="none"/>
          <w:lang w:eastAsia="zh-CN"/>
        </w:rPr>
        <w:t xml:space="preserve">                       邮政编码：</w:t>
      </w:r>
      <w:r>
        <w:rPr>
          <w:rFonts w:hint="eastAsia"/>
          <w:color w:val="auto"/>
          <w:sz w:val="21"/>
          <w:szCs w:val="21"/>
          <w:highlight w:val="none"/>
          <w:u w:val="single"/>
          <w:lang w:eastAsia="zh-CN"/>
        </w:rPr>
        <w:t xml:space="preserve">                   </w:t>
      </w:r>
    </w:p>
    <w:p w14:paraId="1E08C990">
      <w:pPr>
        <w:shd w:val="clear"/>
        <w:adjustRightInd w:val="0"/>
        <w:snapToGrid w:val="0"/>
        <w:spacing w:line="500" w:lineRule="exact"/>
        <w:ind w:firstLine="415" w:firstLineChars="198"/>
        <w:rPr>
          <w:color w:val="auto"/>
          <w:sz w:val="21"/>
          <w:szCs w:val="21"/>
          <w:highlight w:val="none"/>
          <w:lang w:eastAsia="zh-CN"/>
        </w:rPr>
      </w:pPr>
      <w:r>
        <w:rPr>
          <w:rFonts w:hint="eastAsia"/>
          <w:color w:val="auto"/>
          <w:sz w:val="21"/>
          <w:szCs w:val="21"/>
          <w:highlight w:val="none"/>
          <w:lang w:eastAsia="zh-CN"/>
        </w:rPr>
        <w:t>法定代表人或其授权                                法定代表人或其授权</w:t>
      </w:r>
    </w:p>
    <w:p w14:paraId="00FA8DE7">
      <w:pPr>
        <w:shd w:val="clear"/>
        <w:adjustRightInd w:val="0"/>
        <w:snapToGrid w:val="0"/>
        <w:spacing w:line="500" w:lineRule="exact"/>
        <w:ind w:firstLine="415" w:firstLineChars="198"/>
        <w:rPr>
          <w:color w:val="auto"/>
          <w:sz w:val="21"/>
          <w:szCs w:val="21"/>
          <w:highlight w:val="none"/>
          <w:lang w:eastAsia="zh-CN"/>
        </w:rPr>
      </w:pPr>
      <w:r>
        <w:rPr>
          <w:rFonts w:hint="eastAsia"/>
          <w:color w:val="auto"/>
          <w:sz w:val="21"/>
          <w:szCs w:val="21"/>
          <w:highlight w:val="none"/>
          <w:lang w:eastAsia="zh-CN"/>
        </w:rPr>
        <w:t>的代理人：</w:t>
      </w:r>
      <w:r>
        <w:rPr>
          <w:rFonts w:hint="eastAsia"/>
          <w:color w:val="auto"/>
          <w:sz w:val="21"/>
          <w:szCs w:val="21"/>
          <w:highlight w:val="none"/>
          <w:u w:val="single"/>
          <w:lang w:eastAsia="zh-CN"/>
        </w:rPr>
        <w:t xml:space="preserve">（签字或盖章）   </w:t>
      </w:r>
      <w:r>
        <w:rPr>
          <w:rFonts w:hint="eastAsia"/>
          <w:color w:val="auto"/>
          <w:sz w:val="21"/>
          <w:szCs w:val="21"/>
          <w:highlight w:val="none"/>
          <w:lang w:eastAsia="zh-CN"/>
        </w:rPr>
        <w:t xml:space="preserve">                       的代理人：</w:t>
      </w:r>
      <w:r>
        <w:rPr>
          <w:rFonts w:hint="eastAsia"/>
          <w:color w:val="auto"/>
          <w:sz w:val="21"/>
          <w:szCs w:val="21"/>
          <w:highlight w:val="none"/>
          <w:u w:val="single"/>
          <w:lang w:eastAsia="zh-CN"/>
        </w:rPr>
        <w:t xml:space="preserve">（签字或盖章）     </w:t>
      </w:r>
    </w:p>
    <w:p w14:paraId="4A7D14A6">
      <w:pPr>
        <w:shd w:val="clear"/>
        <w:adjustRightInd w:val="0"/>
        <w:snapToGrid w:val="0"/>
        <w:spacing w:line="500" w:lineRule="exact"/>
        <w:ind w:firstLine="415" w:firstLineChars="198"/>
        <w:rPr>
          <w:color w:val="auto"/>
          <w:sz w:val="21"/>
          <w:szCs w:val="21"/>
          <w:highlight w:val="none"/>
          <w:lang w:eastAsia="zh-CN"/>
        </w:rPr>
      </w:pPr>
      <w:r>
        <w:rPr>
          <w:rFonts w:hint="eastAsia"/>
          <w:color w:val="auto"/>
          <w:sz w:val="21"/>
          <w:szCs w:val="21"/>
          <w:highlight w:val="none"/>
          <w:lang w:eastAsia="zh-CN"/>
        </w:rPr>
        <w:t>开户银行：</w:t>
      </w:r>
      <w:r>
        <w:rPr>
          <w:rFonts w:hint="eastAsia"/>
          <w:color w:val="auto"/>
          <w:sz w:val="21"/>
          <w:szCs w:val="21"/>
          <w:highlight w:val="none"/>
          <w:u w:val="single"/>
          <w:lang w:eastAsia="zh-CN"/>
        </w:rPr>
        <w:t xml:space="preserve">                 </w:t>
      </w:r>
      <w:r>
        <w:rPr>
          <w:rFonts w:hint="eastAsia"/>
          <w:color w:val="auto"/>
          <w:sz w:val="21"/>
          <w:szCs w:val="21"/>
          <w:highlight w:val="none"/>
          <w:lang w:eastAsia="zh-CN"/>
        </w:rPr>
        <w:t xml:space="preserve">                       开户银行：</w:t>
      </w:r>
      <w:r>
        <w:rPr>
          <w:rFonts w:hint="eastAsia"/>
          <w:color w:val="auto"/>
          <w:sz w:val="21"/>
          <w:szCs w:val="21"/>
          <w:highlight w:val="none"/>
          <w:u w:val="single"/>
          <w:lang w:eastAsia="zh-CN"/>
        </w:rPr>
        <w:t xml:space="preserve">                   </w:t>
      </w:r>
    </w:p>
    <w:p w14:paraId="42BC2E4C">
      <w:pPr>
        <w:shd w:val="clear"/>
        <w:adjustRightInd w:val="0"/>
        <w:snapToGrid w:val="0"/>
        <w:spacing w:line="500" w:lineRule="exact"/>
        <w:ind w:firstLine="415" w:firstLineChars="198"/>
        <w:rPr>
          <w:color w:val="auto"/>
          <w:sz w:val="21"/>
          <w:szCs w:val="21"/>
          <w:highlight w:val="none"/>
          <w:lang w:eastAsia="zh-CN"/>
        </w:rPr>
      </w:pPr>
      <w:r>
        <w:rPr>
          <w:rFonts w:hint="eastAsia"/>
          <w:color w:val="auto"/>
          <w:sz w:val="21"/>
          <w:szCs w:val="21"/>
          <w:highlight w:val="none"/>
          <w:lang w:eastAsia="zh-CN"/>
        </w:rPr>
        <w:t>账号：</w:t>
      </w:r>
      <w:r>
        <w:rPr>
          <w:rFonts w:hint="eastAsia"/>
          <w:color w:val="auto"/>
          <w:sz w:val="21"/>
          <w:szCs w:val="21"/>
          <w:highlight w:val="none"/>
          <w:u w:val="single"/>
          <w:lang w:eastAsia="zh-CN"/>
        </w:rPr>
        <w:t xml:space="preserve">                      </w:t>
      </w:r>
      <w:r>
        <w:rPr>
          <w:rFonts w:hint="eastAsia"/>
          <w:color w:val="auto"/>
          <w:sz w:val="21"/>
          <w:szCs w:val="21"/>
          <w:highlight w:val="none"/>
          <w:lang w:eastAsia="zh-CN"/>
        </w:rPr>
        <w:t xml:space="preserve">                      账号：</w:t>
      </w:r>
      <w:r>
        <w:rPr>
          <w:rFonts w:hint="eastAsia"/>
          <w:color w:val="auto"/>
          <w:sz w:val="21"/>
          <w:szCs w:val="21"/>
          <w:highlight w:val="none"/>
          <w:u w:val="single"/>
          <w:lang w:eastAsia="zh-CN"/>
        </w:rPr>
        <w:t xml:space="preserve">                       </w:t>
      </w:r>
    </w:p>
    <w:p w14:paraId="1DF2B072">
      <w:pPr>
        <w:shd w:val="clear"/>
        <w:adjustRightInd w:val="0"/>
        <w:snapToGrid w:val="0"/>
        <w:spacing w:line="500" w:lineRule="exact"/>
        <w:ind w:firstLine="415" w:firstLineChars="198"/>
        <w:rPr>
          <w:color w:val="auto"/>
          <w:sz w:val="21"/>
          <w:szCs w:val="21"/>
          <w:highlight w:val="none"/>
          <w:lang w:eastAsia="zh-CN"/>
        </w:rPr>
      </w:pPr>
      <w:r>
        <w:rPr>
          <w:rFonts w:hint="eastAsia"/>
          <w:color w:val="auto"/>
          <w:sz w:val="21"/>
          <w:szCs w:val="21"/>
          <w:highlight w:val="none"/>
          <w:lang w:eastAsia="zh-CN"/>
        </w:rPr>
        <w:t>电话：</w:t>
      </w:r>
      <w:r>
        <w:rPr>
          <w:rFonts w:hint="eastAsia"/>
          <w:color w:val="auto"/>
          <w:sz w:val="21"/>
          <w:szCs w:val="21"/>
          <w:highlight w:val="none"/>
          <w:u w:val="single"/>
          <w:lang w:eastAsia="zh-CN"/>
        </w:rPr>
        <w:t xml:space="preserve">                      </w:t>
      </w:r>
      <w:r>
        <w:rPr>
          <w:rFonts w:hint="eastAsia"/>
          <w:color w:val="auto"/>
          <w:sz w:val="21"/>
          <w:szCs w:val="21"/>
          <w:highlight w:val="none"/>
          <w:lang w:eastAsia="zh-CN"/>
        </w:rPr>
        <w:t xml:space="preserve">                      电话：</w:t>
      </w:r>
      <w:r>
        <w:rPr>
          <w:rFonts w:hint="eastAsia"/>
          <w:color w:val="auto"/>
          <w:sz w:val="21"/>
          <w:szCs w:val="21"/>
          <w:highlight w:val="none"/>
          <w:u w:val="single"/>
          <w:lang w:eastAsia="zh-CN"/>
        </w:rPr>
        <w:t xml:space="preserve">                       </w:t>
      </w:r>
    </w:p>
    <w:p w14:paraId="6715AF61">
      <w:pPr>
        <w:shd w:val="clear"/>
        <w:adjustRightInd w:val="0"/>
        <w:snapToGrid w:val="0"/>
        <w:spacing w:line="500" w:lineRule="exact"/>
        <w:ind w:firstLine="415" w:firstLineChars="198"/>
        <w:rPr>
          <w:color w:val="auto"/>
          <w:sz w:val="21"/>
          <w:szCs w:val="21"/>
          <w:highlight w:val="none"/>
          <w:lang w:eastAsia="zh-CN"/>
        </w:rPr>
      </w:pPr>
      <w:r>
        <w:rPr>
          <w:rFonts w:hint="eastAsia"/>
          <w:color w:val="auto"/>
          <w:sz w:val="21"/>
          <w:szCs w:val="21"/>
          <w:highlight w:val="none"/>
          <w:lang w:eastAsia="zh-CN"/>
        </w:rPr>
        <w:t>传真：</w:t>
      </w:r>
      <w:r>
        <w:rPr>
          <w:rFonts w:hint="eastAsia"/>
          <w:color w:val="auto"/>
          <w:sz w:val="21"/>
          <w:szCs w:val="21"/>
          <w:highlight w:val="none"/>
          <w:u w:val="single"/>
          <w:lang w:eastAsia="zh-CN"/>
        </w:rPr>
        <w:t xml:space="preserve">                      </w:t>
      </w:r>
      <w:r>
        <w:rPr>
          <w:rFonts w:hint="eastAsia"/>
          <w:color w:val="auto"/>
          <w:sz w:val="21"/>
          <w:szCs w:val="21"/>
          <w:highlight w:val="none"/>
          <w:lang w:eastAsia="zh-CN"/>
        </w:rPr>
        <w:t xml:space="preserve">                      传真：</w:t>
      </w:r>
      <w:r>
        <w:rPr>
          <w:rFonts w:hint="eastAsia"/>
          <w:color w:val="auto"/>
          <w:sz w:val="21"/>
          <w:szCs w:val="21"/>
          <w:highlight w:val="none"/>
          <w:u w:val="single"/>
          <w:lang w:eastAsia="zh-CN"/>
        </w:rPr>
        <w:t xml:space="preserve">                       </w:t>
      </w:r>
    </w:p>
    <w:p w14:paraId="06D44173">
      <w:pPr>
        <w:keepNext w:val="0"/>
        <w:keepLines w:val="0"/>
        <w:pageBreakBefore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p>
    <w:p w14:paraId="520E561B">
      <w:pPr>
        <w:keepNext w:val="0"/>
        <w:keepLines w:val="0"/>
        <w:pageBreakBefore w:val="0"/>
        <w:shd w:val="clear"/>
        <w:kinsoku/>
        <w:wordWrap/>
        <w:overflowPunct/>
        <w:topLinePunct w:val="0"/>
        <w:bidi w:val="0"/>
        <w:adjustRightInd/>
        <w:snapToGrid/>
        <w:spacing w:line="360" w:lineRule="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Hans"/>
        </w:rPr>
        <w:br w:type="page"/>
      </w:r>
      <w:r>
        <w:rPr>
          <w:rFonts w:hint="eastAsia" w:cs="宋体"/>
          <w:color w:val="auto"/>
          <w:highlight w:val="none"/>
          <w:lang w:val="en-US" w:eastAsia="zh-CN"/>
        </w:rPr>
        <w:t xml:space="preserve">  </w:t>
      </w:r>
      <w:r>
        <w:rPr>
          <w:rFonts w:hint="eastAsia" w:cs="宋体"/>
          <w:b/>
          <w:bCs/>
          <w:color w:val="auto"/>
          <w:highlight w:val="none"/>
          <w:lang w:val="en-US" w:eastAsia="zh-CN"/>
        </w:rPr>
        <w:t>附表：</w:t>
      </w:r>
    </w:p>
    <w:tbl>
      <w:tblPr>
        <w:tblStyle w:val="3"/>
        <w:tblW w:w="488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19"/>
        <w:gridCol w:w="1277"/>
        <w:gridCol w:w="2804"/>
        <w:gridCol w:w="4728"/>
      </w:tblGrid>
      <w:tr w14:paraId="6ABF8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tblHeader/>
          <w:jc w:val="center"/>
        </w:trPr>
        <w:tc>
          <w:tcPr>
            <w:tcW w:w="377" w:type="pct"/>
            <w:vMerge w:val="restart"/>
            <w:noWrap w:val="0"/>
            <w:vAlign w:val="center"/>
          </w:tcPr>
          <w:p w14:paraId="2F48E9C9">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b/>
                <w:color w:val="auto"/>
                <w:kern w:val="0"/>
                <w:sz w:val="18"/>
                <w:szCs w:val="18"/>
                <w:highlight w:val="none"/>
              </w:rPr>
            </w:pPr>
            <w:r>
              <w:rPr>
                <w:rFonts w:hint="eastAsia" w:ascii="宋体" w:hAnsi="宋体" w:eastAsia="宋体" w:cs="宋体"/>
                <w:b/>
                <w:color w:val="auto"/>
                <w:kern w:val="0"/>
                <w:sz w:val="18"/>
                <w:szCs w:val="18"/>
                <w:highlight w:val="none"/>
              </w:rPr>
              <w:t>序号</w:t>
            </w:r>
          </w:p>
        </w:tc>
        <w:tc>
          <w:tcPr>
            <w:tcW w:w="670" w:type="pct"/>
            <w:vMerge w:val="restart"/>
            <w:noWrap w:val="0"/>
            <w:vAlign w:val="center"/>
          </w:tcPr>
          <w:p w14:paraId="0BCADA58">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b/>
                <w:color w:val="auto"/>
                <w:kern w:val="0"/>
                <w:sz w:val="18"/>
                <w:szCs w:val="18"/>
                <w:highlight w:val="none"/>
              </w:rPr>
            </w:pPr>
            <w:r>
              <w:rPr>
                <w:rFonts w:hint="eastAsia" w:ascii="宋体" w:hAnsi="宋体" w:eastAsia="宋体" w:cs="宋体"/>
                <w:b/>
                <w:color w:val="auto"/>
                <w:kern w:val="0"/>
                <w:sz w:val="18"/>
                <w:szCs w:val="18"/>
                <w:highlight w:val="none"/>
              </w:rPr>
              <w:t>河（湖）</w:t>
            </w:r>
          </w:p>
        </w:tc>
        <w:tc>
          <w:tcPr>
            <w:tcW w:w="1471" w:type="pct"/>
            <w:vMerge w:val="restart"/>
            <w:noWrap w:val="0"/>
            <w:vAlign w:val="center"/>
          </w:tcPr>
          <w:p w14:paraId="4485C82A">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b/>
                <w:color w:val="auto"/>
                <w:kern w:val="0"/>
                <w:sz w:val="18"/>
                <w:szCs w:val="18"/>
                <w:highlight w:val="none"/>
              </w:rPr>
            </w:pPr>
            <w:r>
              <w:rPr>
                <w:rFonts w:hint="eastAsia" w:ascii="宋体" w:hAnsi="宋体" w:eastAsia="宋体" w:cs="宋体"/>
                <w:b/>
                <w:color w:val="auto"/>
                <w:kern w:val="0"/>
                <w:sz w:val="18"/>
                <w:szCs w:val="18"/>
                <w:highlight w:val="none"/>
              </w:rPr>
              <w:t>断面名称</w:t>
            </w:r>
          </w:p>
        </w:tc>
        <w:tc>
          <w:tcPr>
            <w:tcW w:w="2480" w:type="pct"/>
            <w:vMerge w:val="restart"/>
            <w:noWrap w:val="0"/>
            <w:vAlign w:val="center"/>
          </w:tcPr>
          <w:p w14:paraId="0B894BB4">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b/>
                <w:color w:val="auto"/>
                <w:kern w:val="0"/>
                <w:sz w:val="18"/>
                <w:szCs w:val="18"/>
                <w:highlight w:val="none"/>
              </w:rPr>
            </w:pPr>
            <w:r>
              <w:rPr>
                <w:rFonts w:hint="eastAsia" w:ascii="宋体" w:hAnsi="宋体" w:eastAsia="宋体" w:cs="宋体"/>
                <w:b/>
                <w:color w:val="auto"/>
                <w:kern w:val="0"/>
                <w:sz w:val="18"/>
                <w:szCs w:val="18"/>
                <w:highlight w:val="none"/>
              </w:rPr>
              <w:t>责任单位</w:t>
            </w:r>
          </w:p>
        </w:tc>
      </w:tr>
      <w:tr w14:paraId="213E3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tblHeader/>
          <w:jc w:val="center"/>
        </w:trPr>
        <w:tc>
          <w:tcPr>
            <w:tcW w:w="377" w:type="pct"/>
            <w:vMerge w:val="continue"/>
            <w:noWrap w:val="0"/>
            <w:vAlign w:val="center"/>
          </w:tcPr>
          <w:p w14:paraId="097F1055">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b/>
                <w:color w:val="auto"/>
                <w:kern w:val="0"/>
                <w:sz w:val="18"/>
                <w:szCs w:val="18"/>
                <w:highlight w:val="none"/>
              </w:rPr>
            </w:pPr>
          </w:p>
        </w:tc>
        <w:tc>
          <w:tcPr>
            <w:tcW w:w="670" w:type="pct"/>
            <w:vMerge w:val="continue"/>
            <w:noWrap w:val="0"/>
            <w:vAlign w:val="center"/>
          </w:tcPr>
          <w:p w14:paraId="18BD22FC">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b/>
                <w:color w:val="auto"/>
                <w:kern w:val="0"/>
                <w:sz w:val="18"/>
                <w:szCs w:val="18"/>
                <w:highlight w:val="none"/>
              </w:rPr>
            </w:pPr>
          </w:p>
        </w:tc>
        <w:tc>
          <w:tcPr>
            <w:tcW w:w="1471" w:type="pct"/>
            <w:vMerge w:val="continue"/>
            <w:noWrap w:val="0"/>
            <w:vAlign w:val="center"/>
          </w:tcPr>
          <w:p w14:paraId="006DD8F5">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b/>
                <w:color w:val="auto"/>
                <w:kern w:val="0"/>
                <w:sz w:val="18"/>
                <w:szCs w:val="18"/>
                <w:highlight w:val="none"/>
              </w:rPr>
            </w:pPr>
          </w:p>
        </w:tc>
        <w:tc>
          <w:tcPr>
            <w:tcW w:w="2480" w:type="pct"/>
            <w:vMerge w:val="continue"/>
            <w:noWrap w:val="0"/>
            <w:vAlign w:val="center"/>
          </w:tcPr>
          <w:p w14:paraId="439D34C2">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b/>
                <w:color w:val="auto"/>
                <w:kern w:val="0"/>
                <w:sz w:val="18"/>
                <w:szCs w:val="18"/>
                <w:highlight w:val="none"/>
              </w:rPr>
            </w:pPr>
          </w:p>
        </w:tc>
      </w:tr>
      <w:tr w14:paraId="60F0E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noWrap w:val="0"/>
            <w:vAlign w:val="center"/>
          </w:tcPr>
          <w:p w14:paraId="2F728325">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val="en-US" w:eastAsia="zh-CN"/>
              </w:rPr>
              <w:t>1</w:t>
            </w:r>
          </w:p>
        </w:tc>
        <w:tc>
          <w:tcPr>
            <w:tcW w:w="670" w:type="pct"/>
            <w:noWrap w:val="0"/>
            <w:vAlign w:val="center"/>
          </w:tcPr>
          <w:p w14:paraId="24E3E906">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昆明池</w:t>
            </w:r>
          </w:p>
        </w:tc>
        <w:tc>
          <w:tcPr>
            <w:tcW w:w="1471" w:type="pct"/>
            <w:noWrap w:val="0"/>
            <w:vAlign w:val="center"/>
          </w:tcPr>
          <w:p w14:paraId="7ADB0B0B">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7湖库</w:t>
            </w:r>
          </w:p>
        </w:tc>
        <w:tc>
          <w:tcPr>
            <w:tcW w:w="2480" w:type="pct"/>
            <w:noWrap w:val="0"/>
            <w:vAlign w:val="center"/>
          </w:tcPr>
          <w:p w14:paraId="40D89136">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西咸新区</w:t>
            </w:r>
          </w:p>
        </w:tc>
      </w:tr>
      <w:tr w14:paraId="00814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restart"/>
            <w:noWrap w:val="0"/>
            <w:vAlign w:val="center"/>
          </w:tcPr>
          <w:p w14:paraId="11E9A2AF">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val="en-US" w:eastAsia="zh-CN"/>
              </w:rPr>
              <w:t>2</w:t>
            </w:r>
          </w:p>
        </w:tc>
        <w:tc>
          <w:tcPr>
            <w:tcW w:w="670" w:type="pct"/>
            <w:vMerge w:val="restart"/>
            <w:noWrap w:val="0"/>
            <w:vAlign w:val="center"/>
          </w:tcPr>
          <w:p w14:paraId="4D4617A9">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灞河</w:t>
            </w:r>
          </w:p>
        </w:tc>
        <w:tc>
          <w:tcPr>
            <w:tcW w:w="1471" w:type="pct"/>
            <w:noWrap w:val="0"/>
            <w:vAlign w:val="center"/>
          </w:tcPr>
          <w:p w14:paraId="60EE21E4">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9燎原村</w:t>
            </w:r>
          </w:p>
        </w:tc>
        <w:tc>
          <w:tcPr>
            <w:tcW w:w="2480" w:type="pct"/>
            <w:noWrap w:val="0"/>
            <w:vAlign w:val="center"/>
          </w:tcPr>
          <w:p w14:paraId="4ECB1C75">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蓝田县</w:t>
            </w:r>
          </w:p>
        </w:tc>
      </w:tr>
      <w:tr w14:paraId="0406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continue"/>
            <w:noWrap w:val="0"/>
            <w:vAlign w:val="center"/>
          </w:tcPr>
          <w:p w14:paraId="3F3513C4">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670" w:type="pct"/>
            <w:vMerge w:val="continue"/>
            <w:noWrap w:val="0"/>
            <w:vAlign w:val="center"/>
          </w:tcPr>
          <w:p w14:paraId="734360D3">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1471" w:type="pct"/>
            <w:noWrap w:val="0"/>
            <w:vAlign w:val="center"/>
          </w:tcPr>
          <w:p w14:paraId="779867EC">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10华清桥</w:t>
            </w:r>
          </w:p>
        </w:tc>
        <w:tc>
          <w:tcPr>
            <w:tcW w:w="2480" w:type="pct"/>
            <w:noWrap w:val="0"/>
            <w:vAlign w:val="center"/>
          </w:tcPr>
          <w:p w14:paraId="40DAAC34">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灞桥区</w:t>
            </w:r>
          </w:p>
        </w:tc>
      </w:tr>
      <w:tr w14:paraId="6B25B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noWrap w:val="0"/>
            <w:vAlign w:val="center"/>
          </w:tcPr>
          <w:p w14:paraId="6390B766">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val="en-US" w:eastAsia="zh-CN"/>
              </w:rPr>
              <w:t>3</w:t>
            </w:r>
          </w:p>
        </w:tc>
        <w:tc>
          <w:tcPr>
            <w:tcW w:w="670" w:type="pct"/>
            <w:noWrap w:val="0"/>
            <w:vAlign w:val="center"/>
          </w:tcPr>
          <w:p w14:paraId="6A6D235C">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渼陂湖</w:t>
            </w:r>
          </w:p>
        </w:tc>
        <w:tc>
          <w:tcPr>
            <w:tcW w:w="1471" w:type="pct"/>
            <w:noWrap w:val="0"/>
            <w:vAlign w:val="center"/>
          </w:tcPr>
          <w:p w14:paraId="119C9C59">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13湖库</w:t>
            </w:r>
          </w:p>
        </w:tc>
        <w:tc>
          <w:tcPr>
            <w:tcW w:w="2480" w:type="pct"/>
            <w:noWrap w:val="0"/>
            <w:vAlign w:val="center"/>
          </w:tcPr>
          <w:p w14:paraId="2C9FFB7F">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鄠邑区</w:t>
            </w:r>
          </w:p>
        </w:tc>
      </w:tr>
      <w:tr w14:paraId="7F074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restart"/>
            <w:noWrap w:val="0"/>
            <w:vAlign w:val="center"/>
          </w:tcPr>
          <w:p w14:paraId="7B65D9A6">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val="en-US" w:eastAsia="zh-CN"/>
              </w:rPr>
              <w:t>4</w:t>
            </w:r>
          </w:p>
        </w:tc>
        <w:tc>
          <w:tcPr>
            <w:tcW w:w="670" w:type="pct"/>
            <w:vMerge w:val="restart"/>
            <w:noWrap w:val="0"/>
            <w:vAlign w:val="center"/>
          </w:tcPr>
          <w:p w14:paraId="416E06E5">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泾河</w:t>
            </w:r>
          </w:p>
        </w:tc>
        <w:tc>
          <w:tcPr>
            <w:tcW w:w="1471" w:type="pct"/>
            <w:noWrap w:val="0"/>
            <w:vAlign w:val="center"/>
          </w:tcPr>
          <w:p w14:paraId="070604CA">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14泾河桥</w:t>
            </w:r>
          </w:p>
        </w:tc>
        <w:tc>
          <w:tcPr>
            <w:tcW w:w="2480" w:type="pct"/>
            <w:noWrap w:val="0"/>
            <w:vAlign w:val="center"/>
          </w:tcPr>
          <w:p w14:paraId="1D3D0F10">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咸阳市</w:t>
            </w:r>
          </w:p>
        </w:tc>
      </w:tr>
      <w:tr w14:paraId="5FFC2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continue"/>
            <w:noWrap w:val="0"/>
            <w:vAlign w:val="center"/>
          </w:tcPr>
          <w:p w14:paraId="181733A8">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670" w:type="pct"/>
            <w:vMerge w:val="continue"/>
            <w:noWrap w:val="0"/>
            <w:vAlign w:val="center"/>
          </w:tcPr>
          <w:p w14:paraId="31154C13">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1471" w:type="pct"/>
            <w:noWrap w:val="0"/>
            <w:vAlign w:val="center"/>
          </w:tcPr>
          <w:p w14:paraId="4463A8F7">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15西铜桥</w:t>
            </w:r>
          </w:p>
        </w:tc>
        <w:tc>
          <w:tcPr>
            <w:tcW w:w="2480" w:type="pct"/>
            <w:noWrap w:val="0"/>
            <w:vAlign w:val="center"/>
          </w:tcPr>
          <w:p w14:paraId="07CE06C9">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西咸新区</w:t>
            </w:r>
          </w:p>
        </w:tc>
      </w:tr>
      <w:tr w14:paraId="6CEF4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restart"/>
            <w:noWrap w:val="0"/>
            <w:vAlign w:val="center"/>
          </w:tcPr>
          <w:p w14:paraId="0BD1B53E">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val="en-US" w:eastAsia="zh-CN"/>
              </w:rPr>
              <w:t>5</w:t>
            </w:r>
          </w:p>
        </w:tc>
        <w:tc>
          <w:tcPr>
            <w:tcW w:w="670" w:type="pct"/>
            <w:vMerge w:val="restart"/>
            <w:noWrap w:val="0"/>
            <w:vAlign w:val="center"/>
          </w:tcPr>
          <w:p w14:paraId="49CB8F3B">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沣河</w:t>
            </w:r>
          </w:p>
        </w:tc>
        <w:tc>
          <w:tcPr>
            <w:tcW w:w="1471" w:type="pct"/>
            <w:noWrap w:val="0"/>
            <w:vAlign w:val="center"/>
          </w:tcPr>
          <w:p w14:paraId="1E7D231E">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18太平峪河环山路</w:t>
            </w:r>
          </w:p>
        </w:tc>
        <w:tc>
          <w:tcPr>
            <w:tcW w:w="2480" w:type="pct"/>
            <w:noWrap w:val="0"/>
            <w:vAlign w:val="center"/>
          </w:tcPr>
          <w:p w14:paraId="4F540F5A">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鄠邑区</w:t>
            </w:r>
          </w:p>
        </w:tc>
      </w:tr>
      <w:tr w14:paraId="702E1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continue"/>
            <w:noWrap w:val="0"/>
            <w:vAlign w:val="center"/>
          </w:tcPr>
          <w:p w14:paraId="29B5E3B0">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670" w:type="pct"/>
            <w:vMerge w:val="continue"/>
            <w:noWrap w:val="0"/>
            <w:vAlign w:val="center"/>
          </w:tcPr>
          <w:p w14:paraId="52A96696">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1471" w:type="pct"/>
            <w:noWrap w:val="0"/>
            <w:vAlign w:val="center"/>
          </w:tcPr>
          <w:p w14:paraId="3DD3F2BC">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19梁家桥</w:t>
            </w:r>
          </w:p>
        </w:tc>
        <w:tc>
          <w:tcPr>
            <w:tcW w:w="2480" w:type="pct"/>
            <w:noWrap w:val="0"/>
            <w:vAlign w:val="center"/>
          </w:tcPr>
          <w:p w14:paraId="39B263AC">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高新区</w:t>
            </w:r>
          </w:p>
        </w:tc>
      </w:tr>
      <w:tr w14:paraId="72F72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restart"/>
            <w:noWrap w:val="0"/>
            <w:vAlign w:val="center"/>
          </w:tcPr>
          <w:p w14:paraId="58B5C72C">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val="en-US" w:eastAsia="zh-CN"/>
              </w:rPr>
              <w:t>6</w:t>
            </w:r>
          </w:p>
        </w:tc>
        <w:tc>
          <w:tcPr>
            <w:tcW w:w="670" w:type="pct"/>
            <w:vMerge w:val="restart"/>
            <w:noWrap w:val="0"/>
            <w:vAlign w:val="center"/>
          </w:tcPr>
          <w:p w14:paraId="6B2B9C59">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石川河</w:t>
            </w:r>
          </w:p>
        </w:tc>
        <w:tc>
          <w:tcPr>
            <w:tcW w:w="1471" w:type="pct"/>
            <w:noWrap w:val="0"/>
            <w:vAlign w:val="center"/>
          </w:tcPr>
          <w:p w14:paraId="2C516066">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21西安入境</w:t>
            </w:r>
          </w:p>
        </w:tc>
        <w:tc>
          <w:tcPr>
            <w:tcW w:w="2480" w:type="pct"/>
            <w:noWrap w:val="0"/>
            <w:vAlign w:val="center"/>
          </w:tcPr>
          <w:p w14:paraId="7D7F2E08">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渭南市</w:t>
            </w:r>
          </w:p>
        </w:tc>
      </w:tr>
      <w:tr w14:paraId="64842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continue"/>
            <w:noWrap w:val="0"/>
            <w:vAlign w:val="center"/>
          </w:tcPr>
          <w:p w14:paraId="13CDDACD">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670" w:type="pct"/>
            <w:vMerge w:val="continue"/>
            <w:noWrap w:val="0"/>
            <w:vAlign w:val="center"/>
          </w:tcPr>
          <w:p w14:paraId="796E68FC">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1471" w:type="pct"/>
            <w:noWrap w:val="0"/>
            <w:vAlign w:val="center"/>
          </w:tcPr>
          <w:p w14:paraId="3FC24466">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22阎良出境</w:t>
            </w:r>
          </w:p>
        </w:tc>
        <w:tc>
          <w:tcPr>
            <w:tcW w:w="2480" w:type="pct"/>
            <w:noWrap w:val="0"/>
            <w:vAlign w:val="center"/>
          </w:tcPr>
          <w:p w14:paraId="2FDDC337">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阎良区</w:t>
            </w:r>
          </w:p>
        </w:tc>
      </w:tr>
      <w:tr w14:paraId="55DA0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continue"/>
            <w:noWrap w:val="0"/>
            <w:vAlign w:val="center"/>
          </w:tcPr>
          <w:p w14:paraId="10363A72">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670" w:type="pct"/>
            <w:vMerge w:val="continue"/>
            <w:noWrap w:val="0"/>
            <w:vAlign w:val="center"/>
          </w:tcPr>
          <w:p w14:paraId="2A744BB5">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1471" w:type="pct"/>
            <w:noWrap w:val="0"/>
            <w:vAlign w:val="center"/>
          </w:tcPr>
          <w:p w14:paraId="6C1C5F1E">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23相桥断面</w:t>
            </w:r>
          </w:p>
        </w:tc>
        <w:tc>
          <w:tcPr>
            <w:tcW w:w="2480" w:type="pct"/>
            <w:noWrap w:val="0"/>
            <w:vAlign w:val="center"/>
          </w:tcPr>
          <w:p w14:paraId="0CFEEA19">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w:t>
            </w:r>
          </w:p>
        </w:tc>
      </w:tr>
      <w:tr w14:paraId="3346C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continue"/>
            <w:noWrap w:val="0"/>
            <w:vAlign w:val="center"/>
          </w:tcPr>
          <w:p w14:paraId="0160EA42">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670" w:type="pct"/>
            <w:vMerge w:val="continue"/>
            <w:noWrap w:val="0"/>
            <w:vAlign w:val="center"/>
          </w:tcPr>
          <w:p w14:paraId="1BCB2E31">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1471" w:type="pct"/>
            <w:noWrap w:val="0"/>
            <w:vAlign w:val="center"/>
          </w:tcPr>
          <w:p w14:paraId="62F35CDB">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24新兴断面</w:t>
            </w:r>
          </w:p>
        </w:tc>
        <w:tc>
          <w:tcPr>
            <w:tcW w:w="2480" w:type="pct"/>
            <w:noWrap w:val="0"/>
            <w:vAlign w:val="center"/>
          </w:tcPr>
          <w:p w14:paraId="0FA50615">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w:t>
            </w:r>
          </w:p>
        </w:tc>
      </w:tr>
      <w:tr w14:paraId="35551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continue"/>
            <w:noWrap w:val="0"/>
            <w:vAlign w:val="center"/>
          </w:tcPr>
          <w:p w14:paraId="546014E4">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670" w:type="pct"/>
            <w:vMerge w:val="continue"/>
            <w:noWrap w:val="0"/>
            <w:vAlign w:val="center"/>
          </w:tcPr>
          <w:p w14:paraId="30CB1E3D">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1471" w:type="pct"/>
            <w:noWrap w:val="0"/>
            <w:vAlign w:val="center"/>
          </w:tcPr>
          <w:p w14:paraId="3F4E68C6">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25水北断面</w:t>
            </w:r>
          </w:p>
        </w:tc>
        <w:tc>
          <w:tcPr>
            <w:tcW w:w="2480" w:type="pct"/>
            <w:noWrap w:val="0"/>
            <w:vAlign w:val="center"/>
          </w:tcPr>
          <w:p w14:paraId="6D0F19E0">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w:t>
            </w:r>
          </w:p>
        </w:tc>
      </w:tr>
      <w:tr w14:paraId="04365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restart"/>
            <w:noWrap w:val="0"/>
            <w:vAlign w:val="center"/>
          </w:tcPr>
          <w:p w14:paraId="6417B45E">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val="en-US" w:eastAsia="zh-CN"/>
              </w:rPr>
              <w:t>7</w:t>
            </w:r>
          </w:p>
        </w:tc>
        <w:tc>
          <w:tcPr>
            <w:tcW w:w="670" w:type="pct"/>
            <w:vMerge w:val="restart"/>
            <w:noWrap w:val="0"/>
            <w:vAlign w:val="center"/>
          </w:tcPr>
          <w:p w14:paraId="12DB7324">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浐河</w:t>
            </w:r>
          </w:p>
        </w:tc>
        <w:tc>
          <w:tcPr>
            <w:tcW w:w="1471" w:type="pct"/>
            <w:noWrap w:val="0"/>
            <w:vAlign w:val="center"/>
          </w:tcPr>
          <w:p w14:paraId="3EA22515">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27长安入境</w:t>
            </w:r>
          </w:p>
        </w:tc>
        <w:tc>
          <w:tcPr>
            <w:tcW w:w="2480" w:type="pct"/>
            <w:noWrap w:val="0"/>
            <w:vAlign w:val="center"/>
          </w:tcPr>
          <w:p w14:paraId="09FA984E">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蓝田县</w:t>
            </w:r>
          </w:p>
        </w:tc>
      </w:tr>
      <w:tr w14:paraId="11B75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continue"/>
            <w:noWrap w:val="0"/>
            <w:vAlign w:val="center"/>
          </w:tcPr>
          <w:p w14:paraId="13518ED7">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670" w:type="pct"/>
            <w:vMerge w:val="continue"/>
            <w:noWrap w:val="0"/>
            <w:vAlign w:val="center"/>
          </w:tcPr>
          <w:p w14:paraId="367BC25D">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1471" w:type="pct"/>
            <w:noWrap w:val="0"/>
            <w:vAlign w:val="center"/>
          </w:tcPr>
          <w:p w14:paraId="7BAA3C35">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i w:val="0"/>
                <w:color w:val="auto"/>
                <w:kern w:val="0"/>
                <w:sz w:val="18"/>
                <w:szCs w:val="18"/>
                <w:highlight w:val="none"/>
                <w:u w:val="none"/>
                <w:lang w:val="en-US" w:eastAsia="zh-CN" w:bidi="ar"/>
              </w:rPr>
              <w:t>28强家坡</w:t>
            </w:r>
          </w:p>
        </w:tc>
        <w:tc>
          <w:tcPr>
            <w:tcW w:w="2480" w:type="pct"/>
            <w:noWrap w:val="0"/>
            <w:vAlign w:val="center"/>
          </w:tcPr>
          <w:p w14:paraId="5D66CCDB">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i w:val="0"/>
                <w:color w:val="auto"/>
                <w:kern w:val="0"/>
                <w:sz w:val="18"/>
                <w:szCs w:val="18"/>
                <w:highlight w:val="none"/>
                <w:u w:val="none"/>
                <w:lang w:val="en-US" w:eastAsia="zh-CN" w:bidi="ar"/>
              </w:rPr>
              <w:t>长安区</w:t>
            </w:r>
          </w:p>
        </w:tc>
      </w:tr>
      <w:tr w14:paraId="3F229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continue"/>
            <w:noWrap w:val="0"/>
            <w:vAlign w:val="center"/>
          </w:tcPr>
          <w:p w14:paraId="0DAF41F0">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670" w:type="pct"/>
            <w:vMerge w:val="continue"/>
            <w:noWrap w:val="0"/>
            <w:vAlign w:val="center"/>
          </w:tcPr>
          <w:p w14:paraId="48BBCD43">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1471" w:type="pct"/>
            <w:noWrap w:val="0"/>
            <w:vAlign w:val="center"/>
          </w:tcPr>
          <w:p w14:paraId="6D146D32">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29高桥</w:t>
            </w:r>
          </w:p>
        </w:tc>
        <w:tc>
          <w:tcPr>
            <w:tcW w:w="2480" w:type="pct"/>
            <w:noWrap w:val="0"/>
            <w:vAlign w:val="center"/>
          </w:tcPr>
          <w:p w14:paraId="19D764FC">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灞桥区</w:t>
            </w:r>
          </w:p>
        </w:tc>
      </w:tr>
      <w:tr w14:paraId="4C2B5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continue"/>
            <w:noWrap w:val="0"/>
            <w:vAlign w:val="center"/>
          </w:tcPr>
          <w:p w14:paraId="4E8CC1A4">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670" w:type="pct"/>
            <w:vMerge w:val="continue"/>
            <w:noWrap w:val="0"/>
            <w:vAlign w:val="center"/>
          </w:tcPr>
          <w:p w14:paraId="3B387A15">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1471" w:type="pct"/>
            <w:noWrap w:val="0"/>
            <w:vAlign w:val="center"/>
          </w:tcPr>
          <w:p w14:paraId="5AA181CF">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30浐河口</w:t>
            </w:r>
          </w:p>
        </w:tc>
        <w:tc>
          <w:tcPr>
            <w:tcW w:w="2480" w:type="pct"/>
            <w:noWrap w:val="0"/>
            <w:vAlign w:val="center"/>
          </w:tcPr>
          <w:p w14:paraId="3C204346">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浐灞国际港</w:t>
            </w:r>
          </w:p>
        </w:tc>
      </w:tr>
      <w:tr w14:paraId="7829B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restart"/>
            <w:noWrap w:val="0"/>
            <w:vAlign w:val="center"/>
          </w:tcPr>
          <w:p w14:paraId="39D211D6">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val="en-US" w:eastAsia="zh-CN"/>
              </w:rPr>
              <w:t>8</w:t>
            </w:r>
          </w:p>
        </w:tc>
        <w:tc>
          <w:tcPr>
            <w:tcW w:w="670" w:type="pct"/>
            <w:vMerge w:val="restart"/>
            <w:noWrap w:val="0"/>
            <w:vAlign w:val="center"/>
          </w:tcPr>
          <w:p w14:paraId="05483C1D">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潏河</w:t>
            </w:r>
          </w:p>
        </w:tc>
        <w:tc>
          <w:tcPr>
            <w:tcW w:w="1471" w:type="pct"/>
            <w:noWrap w:val="0"/>
            <w:vAlign w:val="center"/>
          </w:tcPr>
          <w:p w14:paraId="140AAC1D">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color w:val="auto"/>
                <w:kern w:val="0"/>
                <w:sz w:val="18"/>
                <w:szCs w:val="18"/>
                <w:highlight w:val="none"/>
                <w:lang w:val="en-US" w:eastAsia="zh-CN"/>
              </w:rPr>
              <w:t>31</w:t>
            </w:r>
            <w:r>
              <w:rPr>
                <w:rFonts w:hint="eastAsia" w:ascii="宋体" w:hAnsi="宋体" w:eastAsia="宋体" w:cs="宋体"/>
                <w:color w:val="auto"/>
                <w:kern w:val="0"/>
                <w:sz w:val="18"/>
                <w:szCs w:val="18"/>
                <w:highlight w:val="none"/>
              </w:rPr>
              <w:t>潏河</w:t>
            </w:r>
            <w:r>
              <w:rPr>
                <w:rFonts w:hint="eastAsia" w:ascii="宋体" w:hAnsi="宋体" w:eastAsia="宋体" w:cs="宋体"/>
                <w:color w:val="auto"/>
                <w:kern w:val="0"/>
                <w:sz w:val="18"/>
                <w:szCs w:val="18"/>
                <w:highlight w:val="none"/>
                <w:lang w:val="en-US" w:eastAsia="zh-CN"/>
              </w:rPr>
              <w:t>上游</w:t>
            </w:r>
          </w:p>
        </w:tc>
        <w:tc>
          <w:tcPr>
            <w:tcW w:w="2480" w:type="pct"/>
            <w:noWrap w:val="0"/>
            <w:vAlign w:val="center"/>
          </w:tcPr>
          <w:p w14:paraId="713969D1">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长安区</w:t>
            </w:r>
          </w:p>
        </w:tc>
      </w:tr>
      <w:tr w14:paraId="79BD5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continue"/>
            <w:noWrap w:val="0"/>
            <w:vAlign w:val="center"/>
          </w:tcPr>
          <w:p w14:paraId="4051195E">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670" w:type="pct"/>
            <w:vMerge w:val="continue"/>
            <w:noWrap w:val="0"/>
            <w:vAlign w:val="center"/>
          </w:tcPr>
          <w:p w14:paraId="542D1658">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1471" w:type="pct"/>
            <w:noWrap w:val="0"/>
            <w:vAlign w:val="center"/>
          </w:tcPr>
          <w:p w14:paraId="497F041A">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i w:val="0"/>
                <w:color w:val="auto"/>
                <w:kern w:val="0"/>
                <w:sz w:val="18"/>
                <w:szCs w:val="18"/>
                <w:highlight w:val="none"/>
                <w:u w:val="none"/>
                <w:lang w:val="en-US" w:eastAsia="zh-CN" w:bidi="ar"/>
              </w:rPr>
              <w:t>32长安出境</w:t>
            </w:r>
          </w:p>
        </w:tc>
        <w:tc>
          <w:tcPr>
            <w:tcW w:w="2480" w:type="pct"/>
            <w:noWrap w:val="0"/>
            <w:vAlign w:val="center"/>
          </w:tcPr>
          <w:p w14:paraId="7319312F">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长安区</w:t>
            </w:r>
          </w:p>
          <w:p w14:paraId="35107AF7">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i w:val="0"/>
                <w:color w:val="auto"/>
                <w:kern w:val="0"/>
                <w:sz w:val="18"/>
                <w:szCs w:val="18"/>
                <w:highlight w:val="none"/>
                <w:u w:val="none"/>
                <w:lang w:val="en-US" w:eastAsia="zh-CN" w:bidi="ar"/>
              </w:rPr>
              <w:t>航天基地</w:t>
            </w:r>
          </w:p>
        </w:tc>
      </w:tr>
      <w:tr w14:paraId="110DC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continue"/>
            <w:noWrap w:val="0"/>
            <w:vAlign w:val="center"/>
          </w:tcPr>
          <w:p w14:paraId="14AA6CE7">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670" w:type="pct"/>
            <w:vMerge w:val="continue"/>
            <w:noWrap w:val="0"/>
            <w:vAlign w:val="center"/>
          </w:tcPr>
          <w:p w14:paraId="4DAE3A43">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1471" w:type="pct"/>
            <w:noWrap w:val="0"/>
            <w:vAlign w:val="center"/>
          </w:tcPr>
          <w:p w14:paraId="75BEAD35">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33潏入沣</w:t>
            </w:r>
          </w:p>
        </w:tc>
        <w:tc>
          <w:tcPr>
            <w:tcW w:w="2480" w:type="pct"/>
            <w:noWrap w:val="0"/>
            <w:vAlign w:val="center"/>
          </w:tcPr>
          <w:p w14:paraId="4373BC08">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高新区</w:t>
            </w:r>
          </w:p>
        </w:tc>
      </w:tr>
      <w:tr w14:paraId="40928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restart"/>
            <w:noWrap w:val="0"/>
            <w:vAlign w:val="center"/>
          </w:tcPr>
          <w:p w14:paraId="63C40BBB">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val="en-US" w:eastAsia="zh-CN"/>
              </w:rPr>
              <w:t>9</w:t>
            </w:r>
          </w:p>
        </w:tc>
        <w:tc>
          <w:tcPr>
            <w:tcW w:w="670" w:type="pct"/>
            <w:vMerge w:val="restart"/>
            <w:noWrap w:val="0"/>
            <w:vAlign w:val="center"/>
          </w:tcPr>
          <w:p w14:paraId="06F8ACFD">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清河</w:t>
            </w:r>
          </w:p>
        </w:tc>
        <w:tc>
          <w:tcPr>
            <w:tcW w:w="1471" w:type="pct"/>
            <w:noWrap w:val="0"/>
            <w:vAlign w:val="center"/>
          </w:tcPr>
          <w:p w14:paraId="71172458">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34西安入境</w:t>
            </w:r>
          </w:p>
        </w:tc>
        <w:tc>
          <w:tcPr>
            <w:tcW w:w="2480" w:type="pct"/>
            <w:noWrap w:val="0"/>
            <w:vAlign w:val="center"/>
          </w:tcPr>
          <w:p w14:paraId="06482BC1">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咸阳市</w:t>
            </w:r>
          </w:p>
        </w:tc>
      </w:tr>
      <w:tr w14:paraId="6F048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continue"/>
            <w:noWrap w:val="0"/>
            <w:vAlign w:val="center"/>
          </w:tcPr>
          <w:p w14:paraId="23C9487F">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670" w:type="pct"/>
            <w:vMerge w:val="continue"/>
            <w:noWrap w:val="0"/>
            <w:vAlign w:val="center"/>
          </w:tcPr>
          <w:p w14:paraId="0DCC984D">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1471" w:type="pct"/>
            <w:noWrap w:val="0"/>
            <w:vAlign w:val="center"/>
          </w:tcPr>
          <w:p w14:paraId="3BA082DF">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35清入石</w:t>
            </w:r>
          </w:p>
        </w:tc>
        <w:tc>
          <w:tcPr>
            <w:tcW w:w="2480" w:type="pct"/>
            <w:noWrap w:val="0"/>
            <w:vAlign w:val="center"/>
          </w:tcPr>
          <w:p w14:paraId="187F8EED">
            <w:pPr>
              <w:keepNext w:val="0"/>
              <w:keepLines w:val="0"/>
              <w:pageBreakBefore w:val="0"/>
              <w:widowControl/>
              <w:suppressLineNumbers w:val="0"/>
              <w:shd w:val="clear"/>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阎良区、临潼区、航空基地</w:t>
            </w:r>
          </w:p>
        </w:tc>
      </w:tr>
      <w:tr w14:paraId="28258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noWrap w:val="0"/>
            <w:vAlign w:val="center"/>
          </w:tcPr>
          <w:p w14:paraId="0630FB5E">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10</w:t>
            </w:r>
          </w:p>
        </w:tc>
        <w:tc>
          <w:tcPr>
            <w:tcW w:w="670" w:type="pct"/>
            <w:noWrap w:val="0"/>
            <w:vAlign w:val="center"/>
          </w:tcPr>
          <w:p w14:paraId="180A736E">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护城河</w:t>
            </w:r>
          </w:p>
        </w:tc>
        <w:tc>
          <w:tcPr>
            <w:tcW w:w="1471" w:type="pct"/>
            <w:noWrap w:val="0"/>
            <w:vAlign w:val="center"/>
          </w:tcPr>
          <w:p w14:paraId="2506D6CD">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36护城河西南城角</w:t>
            </w:r>
          </w:p>
        </w:tc>
        <w:tc>
          <w:tcPr>
            <w:tcW w:w="2480" w:type="pct"/>
            <w:noWrap w:val="0"/>
            <w:vAlign w:val="center"/>
          </w:tcPr>
          <w:p w14:paraId="49C0F4F8">
            <w:pPr>
              <w:keepNext w:val="0"/>
              <w:keepLines w:val="0"/>
              <w:pageBreakBefore w:val="0"/>
              <w:widowControl/>
              <w:suppressLineNumbers w:val="0"/>
              <w:shd w:val="clear"/>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新城区、碑林区、莲湖区、曲江新区</w:t>
            </w:r>
          </w:p>
        </w:tc>
      </w:tr>
      <w:tr w14:paraId="19C39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noWrap w:val="0"/>
            <w:vAlign w:val="center"/>
          </w:tcPr>
          <w:p w14:paraId="22FE6C49">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rPr>
              <w:t>1</w:t>
            </w:r>
            <w:r>
              <w:rPr>
                <w:rFonts w:hint="eastAsia" w:ascii="宋体" w:hAnsi="宋体" w:eastAsia="宋体" w:cs="宋体"/>
                <w:color w:val="auto"/>
                <w:kern w:val="0"/>
                <w:sz w:val="18"/>
                <w:szCs w:val="18"/>
                <w:highlight w:val="none"/>
                <w:lang w:val="en-US" w:eastAsia="zh-CN"/>
              </w:rPr>
              <w:t>1</w:t>
            </w:r>
          </w:p>
        </w:tc>
        <w:tc>
          <w:tcPr>
            <w:tcW w:w="670" w:type="pct"/>
            <w:noWrap w:val="0"/>
            <w:vAlign w:val="center"/>
          </w:tcPr>
          <w:p w14:paraId="2D4DCF53">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漕运</w:t>
            </w:r>
          </w:p>
          <w:p w14:paraId="533C5E34">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明渠</w:t>
            </w:r>
          </w:p>
        </w:tc>
        <w:tc>
          <w:tcPr>
            <w:tcW w:w="1471" w:type="pct"/>
            <w:noWrap w:val="0"/>
            <w:vAlign w:val="center"/>
          </w:tcPr>
          <w:p w14:paraId="28582F48">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val="en-US" w:eastAsia="zh-CN"/>
              </w:rPr>
              <w:t>39明光路</w:t>
            </w:r>
          </w:p>
        </w:tc>
        <w:tc>
          <w:tcPr>
            <w:tcW w:w="2480" w:type="pct"/>
            <w:noWrap w:val="0"/>
            <w:vAlign w:val="center"/>
          </w:tcPr>
          <w:p w14:paraId="21509BC4">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未央区、经开区</w:t>
            </w:r>
          </w:p>
        </w:tc>
      </w:tr>
      <w:tr w14:paraId="701B9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noWrap w:val="0"/>
            <w:vAlign w:val="center"/>
          </w:tcPr>
          <w:p w14:paraId="6C3AB6C3">
            <w:pPr>
              <w:keepNext w:val="0"/>
              <w:keepLines w:val="0"/>
              <w:pageBreakBefore w:val="0"/>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rPr>
              <w:t>1</w:t>
            </w:r>
            <w:r>
              <w:rPr>
                <w:rFonts w:hint="eastAsia" w:ascii="宋体" w:hAnsi="宋体" w:eastAsia="宋体" w:cs="宋体"/>
                <w:color w:val="auto"/>
                <w:kern w:val="0"/>
                <w:sz w:val="18"/>
                <w:szCs w:val="18"/>
                <w:highlight w:val="none"/>
                <w:lang w:val="en-US" w:eastAsia="zh-CN"/>
              </w:rPr>
              <w:t>2</w:t>
            </w:r>
          </w:p>
        </w:tc>
        <w:tc>
          <w:tcPr>
            <w:tcW w:w="670" w:type="pct"/>
            <w:noWrap w:val="0"/>
            <w:vAlign w:val="center"/>
          </w:tcPr>
          <w:p w14:paraId="486BFFD7">
            <w:pPr>
              <w:keepNext w:val="0"/>
              <w:keepLines w:val="0"/>
              <w:pageBreakBefore w:val="0"/>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rPr>
              <w:t>幸福渠</w:t>
            </w:r>
          </w:p>
        </w:tc>
        <w:tc>
          <w:tcPr>
            <w:tcW w:w="1471" w:type="pct"/>
            <w:noWrap w:val="0"/>
            <w:vAlign w:val="center"/>
          </w:tcPr>
          <w:p w14:paraId="3DFE0AD9">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43十污上游</w:t>
            </w:r>
          </w:p>
        </w:tc>
        <w:tc>
          <w:tcPr>
            <w:tcW w:w="2480" w:type="pct"/>
            <w:noWrap w:val="0"/>
            <w:vAlign w:val="center"/>
          </w:tcPr>
          <w:p w14:paraId="2DE2F4D5">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未央区、经开区</w:t>
            </w:r>
          </w:p>
        </w:tc>
      </w:tr>
      <w:tr w14:paraId="2B7D7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restart"/>
            <w:noWrap w:val="0"/>
            <w:vAlign w:val="center"/>
          </w:tcPr>
          <w:p w14:paraId="037F26E7">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rPr>
              <w:t>1</w:t>
            </w:r>
            <w:r>
              <w:rPr>
                <w:rFonts w:hint="eastAsia" w:ascii="宋体" w:hAnsi="宋体" w:eastAsia="宋体" w:cs="宋体"/>
                <w:color w:val="auto"/>
                <w:kern w:val="0"/>
                <w:sz w:val="18"/>
                <w:szCs w:val="18"/>
                <w:highlight w:val="none"/>
                <w:lang w:val="en-US" w:eastAsia="zh-CN"/>
              </w:rPr>
              <w:t>3</w:t>
            </w:r>
          </w:p>
        </w:tc>
        <w:tc>
          <w:tcPr>
            <w:tcW w:w="670" w:type="pct"/>
            <w:vMerge w:val="restart"/>
            <w:noWrap w:val="0"/>
            <w:vAlign w:val="center"/>
          </w:tcPr>
          <w:p w14:paraId="6A885D79">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皂河</w:t>
            </w:r>
          </w:p>
        </w:tc>
        <w:tc>
          <w:tcPr>
            <w:tcW w:w="1471" w:type="pct"/>
            <w:noWrap w:val="0"/>
            <w:vAlign w:val="center"/>
          </w:tcPr>
          <w:p w14:paraId="4E55AB6C">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44西部大道</w:t>
            </w:r>
          </w:p>
        </w:tc>
        <w:tc>
          <w:tcPr>
            <w:tcW w:w="2480" w:type="pct"/>
            <w:noWrap w:val="0"/>
            <w:vAlign w:val="center"/>
          </w:tcPr>
          <w:p w14:paraId="57EC7760">
            <w:pPr>
              <w:keepNext w:val="0"/>
              <w:keepLines w:val="0"/>
              <w:pageBreakBefore w:val="0"/>
              <w:widowControl/>
              <w:suppressLineNumbers w:val="0"/>
              <w:shd w:val="clear"/>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长安区、航天基地</w:t>
            </w:r>
          </w:p>
        </w:tc>
      </w:tr>
      <w:tr w14:paraId="29FF4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continue"/>
            <w:noWrap w:val="0"/>
            <w:vAlign w:val="center"/>
          </w:tcPr>
          <w:p w14:paraId="12CEF979">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670" w:type="pct"/>
            <w:vMerge w:val="continue"/>
            <w:noWrap w:val="0"/>
            <w:vAlign w:val="center"/>
          </w:tcPr>
          <w:p w14:paraId="5038ED5F">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1471" w:type="pct"/>
            <w:noWrap w:val="0"/>
            <w:vAlign w:val="center"/>
          </w:tcPr>
          <w:p w14:paraId="534C2924">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45南三环桥</w:t>
            </w:r>
          </w:p>
        </w:tc>
        <w:tc>
          <w:tcPr>
            <w:tcW w:w="2480" w:type="pct"/>
            <w:noWrap w:val="0"/>
            <w:vAlign w:val="center"/>
          </w:tcPr>
          <w:p w14:paraId="73AC56DF">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雁塔区</w:t>
            </w:r>
          </w:p>
        </w:tc>
      </w:tr>
      <w:tr w14:paraId="34E85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continue"/>
            <w:noWrap w:val="0"/>
            <w:vAlign w:val="center"/>
          </w:tcPr>
          <w:p w14:paraId="624A9B75">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670" w:type="pct"/>
            <w:vMerge w:val="continue"/>
            <w:noWrap w:val="0"/>
            <w:vAlign w:val="center"/>
          </w:tcPr>
          <w:p w14:paraId="27986551">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1471" w:type="pct"/>
            <w:noWrap w:val="0"/>
            <w:vAlign w:val="center"/>
          </w:tcPr>
          <w:p w14:paraId="730897AB">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46富鱼路</w:t>
            </w:r>
          </w:p>
        </w:tc>
        <w:tc>
          <w:tcPr>
            <w:tcW w:w="2480" w:type="pct"/>
            <w:noWrap w:val="0"/>
            <w:vAlign w:val="center"/>
          </w:tcPr>
          <w:p w14:paraId="4E77DBB3">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高新区</w:t>
            </w:r>
          </w:p>
        </w:tc>
      </w:tr>
      <w:tr w14:paraId="1107F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continue"/>
            <w:noWrap w:val="0"/>
            <w:vAlign w:val="center"/>
          </w:tcPr>
          <w:p w14:paraId="3708ECFC">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670" w:type="pct"/>
            <w:vMerge w:val="continue"/>
            <w:noWrap w:val="0"/>
            <w:vAlign w:val="center"/>
          </w:tcPr>
          <w:p w14:paraId="747835FA">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1471" w:type="pct"/>
            <w:noWrap w:val="0"/>
            <w:vAlign w:val="center"/>
          </w:tcPr>
          <w:p w14:paraId="3F6ACF27">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47昆明路</w:t>
            </w:r>
          </w:p>
        </w:tc>
        <w:tc>
          <w:tcPr>
            <w:tcW w:w="2480" w:type="pct"/>
            <w:noWrap w:val="0"/>
            <w:vAlign w:val="center"/>
          </w:tcPr>
          <w:p w14:paraId="0DAB264F">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雁塔区</w:t>
            </w:r>
          </w:p>
        </w:tc>
      </w:tr>
      <w:tr w14:paraId="20C04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continue"/>
            <w:noWrap w:val="0"/>
            <w:vAlign w:val="center"/>
          </w:tcPr>
          <w:p w14:paraId="542ED056">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670" w:type="pct"/>
            <w:vMerge w:val="continue"/>
            <w:noWrap w:val="0"/>
            <w:vAlign w:val="center"/>
          </w:tcPr>
          <w:p w14:paraId="6076B738">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p>
        </w:tc>
        <w:tc>
          <w:tcPr>
            <w:tcW w:w="1471" w:type="pct"/>
            <w:noWrap w:val="0"/>
            <w:vAlign w:val="center"/>
          </w:tcPr>
          <w:p w14:paraId="440F1969">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48雁秋门</w:t>
            </w:r>
          </w:p>
        </w:tc>
        <w:tc>
          <w:tcPr>
            <w:tcW w:w="2480" w:type="pct"/>
            <w:noWrap w:val="0"/>
            <w:vAlign w:val="center"/>
          </w:tcPr>
          <w:p w14:paraId="7CD4FC7B">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莲湖区</w:t>
            </w:r>
          </w:p>
        </w:tc>
      </w:tr>
      <w:tr w14:paraId="418F6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vMerge w:val="continue"/>
            <w:noWrap w:val="0"/>
            <w:vAlign w:val="center"/>
          </w:tcPr>
          <w:p w14:paraId="1C46DBE8">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lang w:val="en-US" w:eastAsia="zh-CN" w:bidi="ar-SA"/>
              </w:rPr>
            </w:pPr>
          </w:p>
        </w:tc>
        <w:tc>
          <w:tcPr>
            <w:tcW w:w="670" w:type="pct"/>
            <w:vMerge w:val="continue"/>
            <w:noWrap w:val="0"/>
            <w:vAlign w:val="center"/>
          </w:tcPr>
          <w:p w14:paraId="24E74076">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lang w:val="en-US" w:eastAsia="zh-CN" w:bidi="ar-SA"/>
              </w:rPr>
            </w:pPr>
          </w:p>
        </w:tc>
        <w:tc>
          <w:tcPr>
            <w:tcW w:w="1471" w:type="pct"/>
            <w:noWrap w:val="0"/>
            <w:vAlign w:val="center"/>
          </w:tcPr>
          <w:p w14:paraId="1921DEC0">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49闫家村桥</w:t>
            </w:r>
          </w:p>
        </w:tc>
        <w:tc>
          <w:tcPr>
            <w:tcW w:w="2480" w:type="pct"/>
            <w:noWrap w:val="0"/>
            <w:vAlign w:val="center"/>
          </w:tcPr>
          <w:p w14:paraId="0DC62D4E">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未央区</w:t>
            </w:r>
          </w:p>
        </w:tc>
      </w:tr>
      <w:tr w14:paraId="0B4EF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noWrap w:val="0"/>
            <w:vAlign w:val="center"/>
          </w:tcPr>
          <w:p w14:paraId="3AE86A8E">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rPr>
              <w:t>1</w:t>
            </w:r>
            <w:r>
              <w:rPr>
                <w:rFonts w:hint="eastAsia" w:ascii="宋体" w:hAnsi="宋体" w:eastAsia="宋体" w:cs="宋体"/>
                <w:color w:val="auto"/>
                <w:kern w:val="0"/>
                <w:sz w:val="18"/>
                <w:szCs w:val="18"/>
                <w:highlight w:val="none"/>
                <w:lang w:val="en-US" w:eastAsia="zh-CN"/>
              </w:rPr>
              <w:t>4</w:t>
            </w:r>
          </w:p>
        </w:tc>
        <w:tc>
          <w:tcPr>
            <w:tcW w:w="670" w:type="pct"/>
            <w:noWrap w:val="0"/>
            <w:vAlign w:val="center"/>
          </w:tcPr>
          <w:p w14:paraId="5662780F">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rPr>
              <w:t>滈河</w:t>
            </w:r>
          </w:p>
        </w:tc>
        <w:tc>
          <w:tcPr>
            <w:tcW w:w="1471" w:type="pct"/>
            <w:noWrap w:val="0"/>
            <w:vAlign w:val="center"/>
          </w:tcPr>
          <w:p w14:paraId="15D1938C">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i w:val="0"/>
                <w:color w:val="auto"/>
                <w:kern w:val="0"/>
                <w:sz w:val="18"/>
                <w:szCs w:val="18"/>
                <w:highlight w:val="none"/>
                <w:u w:val="none"/>
                <w:lang w:val="en-US" w:eastAsia="zh-CN" w:bidi="ar"/>
              </w:rPr>
              <w:t>52滈入潏</w:t>
            </w:r>
          </w:p>
        </w:tc>
        <w:tc>
          <w:tcPr>
            <w:tcW w:w="2480" w:type="pct"/>
            <w:noWrap w:val="0"/>
            <w:vAlign w:val="center"/>
          </w:tcPr>
          <w:p w14:paraId="64B8B685">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i w:val="0"/>
                <w:color w:val="auto"/>
                <w:kern w:val="0"/>
                <w:sz w:val="18"/>
                <w:szCs w:val="18"/>
                <w:highlight w:val="none"/>
                <w:u w:val="none"/>
                <w:lang w:val="en-US" w:eastAsia="zh-CN" w:bidi="ar"/>
              </w:rPr>
              <w:t>长安区</w:t>
            </w:r>
          </w:p>
        </w:tc>
      </w:tr>
      <w:tr w14:paraId="6B981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noWrap w:val="0"/>
            <w:vAlign w:val="center"/>
          </w:tcPr>
          <w:p w14:paraId="4361960C">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rPr>
              <w:t>1</w:t>
            </w:r>
            <w:r>
              <w:rPr>
                <w:rFonts w:hint="eastAsia" w:ascii="宋体" w:hAnsi="宋体" w:eastAsia="宋体" w:cs="宋体"/>
                <w:color w:val="auto"/>
                <w:kern w:val="0"/>
                <w:sz w:val="18"/>
                <w:szCs w:val="18"/>
                <w:highlight w:val="none"/>
                <w:lang w:val="en-US" w:eastAsia="zh-CN"/>
              </w:rPr>
              <w:t>5</w:t>
            </w:r>
          </w:p>
        </w:tc>
        <w:tc>
          <w:tcPr>
            <w:tcW w:w="670" w:type="pct"/>
            <w:noWrap w:val="0"/>
            <w:vAlign w:val="center"/>
          </w:tcPr>
          <w:p w14:paraId="3C55C1B3">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太平河</w:t>
            </w:r>
          </w:p>
        </w:tc>
        <w:tc>
          <w:tcPr>
            <w:tcW w:w="1471" w:type="pct"/>
            <w:noWrap w:val="0"/>
            <w:vAlign w:val="center"/>
          </w:tcPr>
          <w:p w14:paraId="458E889A">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55高新出境</w:t>
            </w:r>
          </w:p>
        </w:tc>
        <w:tc>
          <w:tcPr>
            <w:tcW w:w="2480" w:type="pct"/>
            <w:noWrap w:val="0"/>
            <w:vAlign w:val="center"/>
          </w:tcPr>
          <w:p w14:paraId="090EF470">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高新区</w:t>
            </w:r>
          </w:p>
        </w:tc>
      </w:tr>
      <w:tr w14:paraId="27C2F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noWrap w:val="0"/>
            <w:vAlign w:val="center"/>
          </w:tcPr>
          <w:p w14:paraId="1F5075F9">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rPr>
              <w:t>1</w:t>
            </w:r>
            <w:r>
              <w:rPr>
                <w:rFonts w:hint="eastAsia" w:ascii="宋体" w:hAnsi="宋体" w:eastAsia="宋体" w:cs="宋体"/>
                <w:color w:val="auto"/>
                <w:kern w:val="0"/>
                <w:sz w:val="18"/>
                <w:szCs w:val="18"/>
                <w:highlight w:val="none"/>
                <w:lang w:val="en-US" w:eastAsia="zh-CN"/>
              </w:rPr>
              <w:t>6</w:t>
            </w:r>
          </w:p>
        </w:tc>
        <w:tc>
          <w:tcPr>
            <w:tcW w:w="670" w:type="pct"/>
            <w:noWrap w:val="0"/>
            <w:vAlign w:val="center"/>
          </w:tcPr>
          <w:p w14:paraId="46F07E0C">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rPr>
              <w:t>新河</w:t>
            </w:r>
          </w:p>
        </w:tc>
        <w:tc>
          <w:tcPr>
            <w:tcW w:w="1471" w:type="pct"/>
            <w:noWrap w:val="0"/>
            <w:vAlign w:val="center"/>
          </w:tcPr>
          <w:p w14:paraId="70E430E4">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i w:val="0"/>
                <w:color w:val="auto"/>
                <w:kern w:val="0"/>
                <w:sz w:val="18"/>
                <w:szCs w:val="18"/>
                <w:highlight w:val="none"/>
                <w:u w:val="none"/>
                <w:lang w:val="en-US" w:eastAsia="zh-CN" w:bidi="ar"/>
              </w:rPr>
              <w:t>58文涝路</w:t>
            </w:r>
          </w:p>
        </w:tc>
        <w:tc>
          <w:tcPr>
            <w:tcW w:w="2480" w:type="pct"/>
            <w:noWrap w:val="0"/>
            <w:vAlign w:val="center"/>
          </w:tcPr>
          <w:p w14:paraId="2ED2731F">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i w:val="0"/>
                <w:color w:val="auto"/>
                <w:kern w:val="0"/>
                <w:sz w:val="18"/>
                <w:szCs w:val="18"/>
                <w:highlight w:val="none"/>
                <w:u w:val="none"/>
                <w:lang w:val="en-US" w:eastAsia="zh-CN" w:bidi="ar"/>
              </w:rPr>
              <w:t>鄠邑区</w:t>
            </w:r>
          </w:p>
        </w:tc>
      </w:tr>
      <w:tr w14:paraId="1BF97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9" w:hRule="atLeast"/>
          <w:jc w:val="center"/>
        </w:trPr>
        <w:tc>
          <w:tcPr>
            <w:tcW w:w="377" w:type="pct"/>
            <w:noWrap w:val="0"/>
            <w:vAlign w:val="center"/>
          </w:tcPr>
          <w:p w14:paraId="50045636">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17</w:t>
            </w:r>
          </w:p>
        </w:tc>
        <w:tc>
          <w:tcPr>
            <w:tcW w:w="670" w:type="pct"/>
            <w:noWrap w:val="0"/>
            <w:vAlign w:val="center"/>
          </w:tcPr>
          <w:p w14:paraId="4ED93472">
            <w:pPr>
              <w:keepNext w:val="0"/>
              <w:keepLines w:val="0"/>
              <w:pageBreakBefore w:val="0"/>
              <w:widowControl/>
              <w:shd w:val="clear"/>
              <w:kinsoku/>
              <w:wordWrap/>
              <w:overflowPunct/>
              <w:topLinePunct w:val="0"/>
              <w:bidi w:val="0"/>
              <w:adjustRightInd/>
              <w:snapToGrid/>
              <w:spacing w:line="300" w:lineRule="exact"/>
              <w:jc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三里河</w:t>
            </w:r>
          </w:p>
        </w:tc>
        <w:tc>
          <w:tcPr>
            <w:tcW w:w="1471" w:type="pct"/>
            <w:noWrap w:val="0"/>
            <w:vAlign w:val="center"/>
          </w:tcPr>
          <w:p w14:paraId="3D26B649">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61三里河入渭</w:t>
            </w:r>
          </w:p>
        </w:tc>
        <w:tc>
          <w:tcPr>
            <w:tcW w:w="2480" w:type="pct"/>
            <w:noWrap w:val="0"/>
            <w:vAlign w:val="center"/>
          </w:tcPr>
          <w:p w14:paraId="7471D13F">
            <w:pPr>
              <w:keepNext w:val="0"/>
              <w:keepLines w:val="0"/>
              <w:pageBreakBefore w:val="0"/>
              <w:widowControl/>
              <w:suppressLineNumbers w:val="0"/>
              <w:shd w:val="clear"/>
              <w:kinsoku/>
              <w:wordWrap/>
              <w:overflowPunct/>
              <w:topLinePunct w:val="0"/>
              <w:bidi w:val="0"/>
              <w:adjustRightInd/>
              <w:snapToGrid/>
              <w:spacing w:line="300" w:lineRule="exact"/>
              <w:jc w:val="center"/>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临潼区</w:t>
            </w:r>
          </w:p>
        </w:tc>
      </w:tr>
    </w:tbl>
    <w:p w14:paraId="6435B8E8">
      <w:bookmarkStart w:id="0" w:name="_GoBack"/>
      <w:bookmarkEnd w:id="0"/>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1B64E">
    <w:pPr>
      <w:pStyle w:val="2"/>
      <w:rPr>
        <w:rFonts w:hint="eastAsia" w:ascii="仿宋_GB2312" w:eastAsia="仿宋_GB2312"/>
        <w:sz w:val="21"/>
        <w:szCs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078630"/>
    <w:multiLevelType w:val="singleLevel"/>
    <w:tmpl w:val="3107863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F703B6"/>
    <w:rsid w:val="26F70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2025-04-16T07:56:00Z</dcterms:created>
  <dc:creator>纵横招标</dc:creator>
  <cp:lastModifiedBy>纵横招标</cp:lastModifiedBy>
  <dcterms:modified xsi:type="dcterms:W3CDTF">2025-04-16T07:57:06Z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93BA83A976DF485B9288B6A5F1A06563_11</vt:lpwstr>
  </property>
  <property fmtid="{D5CDD505-2E9C-101B-9397-08002B2CF9AE}" pid="4" name="KSOTemplateDocerSaveRecord">
    <vt:lpwstr>eyJoZGlkIjoiOTFmZWVhNDRmNTgzOTg3YTkyNzUwNWU2Nzk1Y2FhZTkiLCJ1c2VySWQiOiIyNjQ2NDU1NDQifQ==</vt:lpwstr>
  </property>
</Properties>
</file>