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版本号：SXZCZB2025-ZCCS-041520250416001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2025西安市加力扩围消费品以旧换新主题促销活动项目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SXZCZB2025-ZCCS-0415</w:t>
      </w:r>
      <w:r>
        <w:br/>
      </w:r>
      <w:r>
        <w:br/>
      </w:r>
      <w:r>
        <w:br/>
      </w:r>
    </w:p>
    <w:p>
      <w:pPr>
        <w:pStyle w:val="null3"/>
        <w:jc w:val="center"/>
        <w:outlineLvl w:val="2"/>
      </w:pPr>
      <w:r>
        <w:rPr>
          <w:rFonts w:ascii="仿宋_GB2312" w:hAnsi="仿宋_GB2312" w:cs="仿宋_GB2312" w:eastAsia="仿宋_GB2312"/>
          <w:sz w:val="28"/>
          <w:b/>
        </w:rPr>
        <w:t>西安市商务局（本级）</w:t>
      </w:r>
    </w:p>
    <w:p>
      <w:pPr>
        <w:pStyle w:val="null3"/>
        <w:jc w:val="center"/>
        <w:outlineLvl w:val="2"/>
      </w:pPr>
      <w:r>
        <w:rPr>
          <w:rFonts w:ascii="仿宋_GB2312" w:hAnsi="仿宋_GB2312" w:cs="仿宋_GB2312" w:eastAsia="仿宋_GB2312"/>
          <w:sz w:val="28"/>
          <w:b/>
        </w:rPr>
        <w:t>陕西至诚项目管理集团有限公司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2025年04月16日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陕西至诚项目管理集团有限公司</w:t>
      </w:r>
      <w:r>
        <w:rPr>
          <w:rFonts w:ascii="仿宋_GB2312" w:hAnsi="仿宋_GB2312" w:cs="仿宋_GB2312" w:eastAsia="仿宋_GB2312"/>
        </w:rPr>
        <w:t>（以下简称“代理机构”）受</w:t>
      </w:r>
      <w:r>
        <w:rPr>
          <w:rFonts w:ascii="仿宋_GB2312" w:hAnsi="仿宋_GB2312" w:cs="仿宋_GB2312" w:eastAsia="仿宋_GB2312"/>
        </w:rPr>
        <w:t>西安市商务局（本级）</w:t>
      </w:r>
      <w:r>
        <w:rPr>
          <w:rFonts w:ascii="仿宋_GB2312" w:hAnsi="仿宋_GB2312" w:cs="仿宋_GB2312" w:eastAsia="仿宋_GB2312"/>
        </w:rPr>
        <w:t>委托，拟对</w:t>
      </w:r>
      <w:r>
        <w:rPr>
          <w:rFonts w:ascii="仿宋_GB2312" w:hAnsi="仿宋_GB2312" w:cs="仿宋_GB2312" w:eastAsia="仿宋_GB2312"/>
        </w:rPr>
        <w:t>2025西安市加力扩围消费品以旧换新主题促销活动项目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SXZCZB2025-ZCCS-0415</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2025西安市加力扩围消费品以旧换新主题促销活动项目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2025西安市加力扩围消费品以旧换新主题促销活动项目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采购包1（2025西安市加力扩围消费品以旧换新主题促销活动项目）：属于专门面向中小企业采购。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1、营业执照：具有独立承担民事责任能力的法人、其他组织或自然人，并出具合法有效的统一社会信用代码的营业执照或事业单位法人证书等国家规定的相关证明，自然人参与的提供其身份证明；</w:t>
      </w:r>
    </w:p>
    <w:p>
      <w:pPr>
        <w:pStyle w:val="null3"/>
      </w:pPr>
      <w:r>
        <w:rPr>
          <w:rFonts w:ascii="仿宋_GB2312" w:hAnsi="仿宋_GB2312" w:cs="仿宋_GB2312" w:eastAsia="仿宋_GB2312"/>
        </w:rPr>
        <w:t>2、法人授权书：提供法定代表人授权书（附法定代表人、被授权人身份证复印件），法定代表人直接参加磋商，须提供法定代表人身份证明（附法定代表人身份证复印件）；</w:t>
      </w:r>
    </w:p>
    <w:p>
      <w:pPr>
        <w:pStyle w:val="null3"/>
      </w:pPr>
      <w:r>
        <w:rPr>
          <w:rFonts w:ascii="仿宋_GB2312" w:hAnsi="仿宋_GB2312" w:cs="仿宋_GB2312" w:eastAsia="仿宋_GB2312"/>
        </w:rPr>
        <w:t>3、财务审计报告：提供2023年度或2024年度的财务审计报告（成立时间至提交响应文件截止时间不足一年的可提供成立后任意时段的资产负债表），或开标时间前六个月内银行出具的资信证明；</w:t>
      </w:r>
    </w:p>
    <w:p>
      <w:pPr>
        <w:pStyle w:val="null3"/>
      </w:pPr>
      <w:r>
        <w:rPr>
          <w:rFonts w:ascii="仿宋_GB2312" w:hAnsi="仿宋_GB2312" w:cs="仿宋_GB2312" w:eastAsia="仿宋_GB2312"/>
        </w:rPr>
        <w:t>4、税收缴纳证明：提供2024年6月至今已缴纳的任意1个月的纳税证明或完税证明（任意税种），依法免税的单位应提供相关证明材料;</w:t>
      </w:r>
    </w:p>
    <w:p>
      <w:pPr>
        <w:pStyle w:val="null3"/>
      </w:pPr>
      <w:r>
        <w:rPr>
          <w:rFonts w:ascii="仿宋_GB2312" w:hAnsi="仿宋_GB2312" w:cs="仿宋_GB2312" w:eastAsia="仿宋_GB2312"/>
        </w:rPr>
        <w:t>5、社会保障资金缴纳证明：提供2024年6月至今已缴纳的任意1个月的社会保障资金缴存单据或社保机构开具的社会保险参保缴费情况证明，依法不需要缴纳社会保障资金的单位应提供相关证明材料；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6、履约承诺：提供具有履行本合同所必需的设备和专业技术能力的说明及承诺书；</w:t>
      </w:r>
    </w:p>
    <w:p>
      <w:pPr>
        <w:pStyle w:val="null3"/>
      </w:pPr>
      <w:r>
        <w:rPr>
          <w:rFonts w:ascii="仿宋_GB2312" w:hAnsi="仿宋_GB2312" w:cs="仿宋_GB2312" w:eastAsia="仿宋_GB2312"/>
        </w:rPr>
        <w:t>7、信用中国：供应商应通过“信用中国”网站(www.creditchina.gov.cn)、中国政府采购网(www.ccgp.gov.cn)查询相关主体信用记录；</w:t>
      </w:r>
    </w:p>
    <w:p>
      <w:pPr>
        <w:pStyle w:val="null3"/>
      </w:pPr>
      <w:r>
        <w:rPr>
          <w:rFonts w:ascii="仿宋_GB2312" w:hAnsi="仿宋_GB2312" w:cs="仿宋_GB2312" w:eastAsia="仿宋_GB2312"/>
        </w:rPr>
        <w:t>8、书面声明：参加政府采购活动前3年内，在经营活动中没有重大违法记录的书面声明；</w:t>
      </w:r>
    </w:p>
    <w:p>
      <w:pPr>
        <w:pStyle w:val="null3"/>
      </w:pPr>
      <w:r>
        <w:rPr>
          <w:rFonts w:ascii="仿宋_GB2312" w:hAnsi="仿宋_GB2312" w:cs="仿宋_GB2312" w:eastAsia="仿宋_GB2312"/>
        </w:rPr>
        <w:t>9、中小企业声明函：供应商须提供中小企业声明函；</w:t>
      </w:r>
    </w:p>
    <w:p>
      <w:pPr>
        <w:pStyle w:val="null3"/>
      </w:pPr>
      <w:r>
        <w:rPr>
          <w:rFonts w:ascii="仿宋_GB2312" w:hAnsi="仿宋_GB2312" w:cs="仿宋_GB2312" w:eastAsia="仿宋_GB2312"/>
        </w:rPr>
        <w:t>10、非联合体承诺：本项目不接受联合体磋商（提供承诺书）。</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西安市商务局（本级）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西安市未央区凤城八路109号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王欢庆</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029-86786484</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陕西至诚项目管理集团有限公司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陕西省西安市经济技术开发区未央路171-1号银池道拉斯财富中心21楼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胡晓均、倪沛、王欣玫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029-88219779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国家计委颁发的《招标代理服务收费管理暂行办法》（计价格[2002]1980号）和国家发展改革委员会办公厅颁发的《关于招标代理服务收费有关问题的通知》（发改办价格[2003]857号）的有关规定执行。</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西安市商务局（本级）</w:t>
      </w:r>
      <w:r>
        <w:rPr>
          <w:rFonts w:ascii="仿宋_GB2312" w:hAnsi="仿宋_GB2312" w:cs="仿宋_GB2312" w:eastAsia="仿宋_GB2312"/>
        </w:rPr>
        <w:t>和</w:t>
      </w:r>
      <w:r>
        <w:rPr>
          <w:rFonts w:ascii="仿宋_GB2312" w:hAnsi="仿宋_GB2312" w:cs="仿宋_GB2312" w:eastAsia="仿宋_GB2312"/>
        </w:rPr>
        <w:t>陕西至诚项目管理集团有限公司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西安市商务局（本级）</w:t>
      </w:r>
      <w:r>
        <w:rPr>
          <w:rFonts w:ascii="仿宋_GB2312" w:hAnsi="仿宋_GB2312" w:cs="仿宋_GB2312" w:eastAsia="仿宋_GB2312"/>
        </w:rPr>
        <w:t>负责解释。除上述磋商文件内容，其他内容由</w:t>
      </w:r>
      <w:r>
        <w:rPr>
          <w:rFonts w:ascii="仿宋_GB2312" w:hAnsi="仿宋_GB2312" w:cs="仿宋_GB2312" w:eastAsia="仿宋_GB2312"/>
        </w:rPr>
        <w:t>陕西至诚项目管理集团有限公司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西安市商务局（本级）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陕西至诚项目管理集团有限公司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详见采购文件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陕西至诚项目管理集团有限公司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陕西至诚项目管理集团有限公司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陕西至诚项目管理集团有限公司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联系人：胡晓均、倪沛、王欣玫</w:t>
      </w:r>
    </w:p>
    <w:p>
      <w:pPr>
        <w:pStyle w:val="null3"/>
      </w:pPr>
      <w:r>
        <w:rPr>
          <w:rFonts w:ascii="仿宋_GB2312" w:hAnsi="仿宋_GB2312" w:cs="仿宋_GB2312" w:eastAsia="仿宋_GB2312"/>
        </w:rPr>
        <w:t>联系电话： 029-88219779</w:t>
      </w:r>
    </w:p>
    <w:p>
      <w:pPr>
        <w:pStyle w:val="null3"/>
      </w:pPr>
      <w:r>
        <w:rPr>
          <w:rFonts w:ascii="仿宋_GB2312" w:hAnsi="仿宋_GB2312" w:cs="仿宋_GB2312" w:eastAsia="仿宋_GB2312"/>
        </w:rPr>
        <w:t>地址：陕西省西安市经济技术开发区未央路171-1号银池道拉斯财富中心21楼</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2025西安市加力扩围消费品以旧换新主题促销活动项目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700,000.00</w:t>
      </w:r>
    </w:p>
    <w:p>
      <w:pPr>
        <w:pStyle w:val="null3"/>
      </w:pPr>
      <w:r>
        <w:rPr>
          <w:rFonts w:ascii="仿宋_GB2312" w:hAnsi="仿宋_GB2312" w:cs="仿宋_GB2312" w:eastAsia="仿宋_GB2312"/>
        </w:rPr>
        <w:t>采购包最高限价（元）: 700,000.00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活动策划和具体组织实施服务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标的名称：活动策划和具体组织实施服务</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服务内容</w:t>
            </w:r>
          </w:p>
        </w:tc>
        <w:tc>
          <w:tcPr>
            <w:tcW w:type="dxa" w:w="2076"/>
          </w:tcPr>
          <w:p>
            <w:pPr>
              <w:pStyle w:val="null3"/>
            </w:pPr>
            <w:r>
              <w:rPr>
                <w:rFonts w:ascii="仿宋_GB2312" w:hAnsi="仿宋_GB2312" w:cs="仿宋_GB2312" w:eastAsia="仿宋_GB2312"/>
              </w:rPr>
              <w:t>一、项目概况</w:t>
            </w:r>
          </w:p>
          <w:p>
            <w:pPr>
              <w:pStyle w:val="null3"/>
            </w:pPr>
            <w:r>
              <w:rPr>
                <w:rFonts w:ascii="仿宋_GB2312" w:hAnsi="仿宋_GB2312" w:cs="仿宋_GB2312" w:eastAsia="仿宋_GB2312"/>
              </w:rPr>
              <w:t>通过开展以旧换新促消费活动，宣传以旧换新政策，展销以旧换新商品，扩大我市加力扩围实施消费品以旧换新政策覆盖面，方便消费者参与，提高政策效益。</w:t>
            </w:r>
          </w:p>
          <w:p>
            <w:pPr>
              <w:pStyle w:val="null3"/>
            </w:pPr>
            <w:r>
              <w:rPr>
                <w:rFonts w:ascii="仿宋_GB2312" w:hAnsi="仿宋_GB2312" w:cs="仿宋_GB2312" w:eastAsia="仿宋_GB2312"/>
              </w:rPr>
              <w:t>二、服务内容（包括工作区域、工作内容等）</w:t>
            </w:r>
          </w:p>
          <w:p>
            <w:pPr>
              <w:pStyle w:val="null3"/>
            </w:pPr>
            <w:r>
              <w:rPr>
                <w:rFonts w:ascii="仿宋_GB2312" w:hAnsi="仿宋_GB2312" w:cs="仿宋_GB2312" w:eastAsia="仿宋_GB2312"/>
              </w:rPr>
              <w:t>1、组织家电、数码、电动自行车、家装厨卫等领域销售企业，开展以旧换新进社区、进乡镇、进房地产、重要商业街区等。累计举办活动场次不少于10余场，每场活动举办时间不少于2天，如遇到重大节假日适当延长活动时间。让消费者能够近距离享受以旧换新政策，进一步放大以旧换新政策对消费的带动作用。</w:t>
            </w:r>
          </w:p>
          <w:p>
            <w:pPr>
              <w:pStyle w:val="null3"/>
            </w:pPr>
            <w:r>
              <w:rPr>
                <w:rFonts w:ascii="仿宋_GB2312" w:hAnsi="仿宋_GB2312" w:cs="仿宋_GB2312" w:eastAsia="仿宋_GB2312"/>
              </w:rPr>
              <w:t>2、活动策划和具体组织实施，制定活动实施和搭建方案、各类应急预案及组织。</w:t>
            </w:r>
          </w:p>
          <w:p>
            <w:pPr>
              <w:pStyle w:val="null3"/>
            </w:pPr>
            <w:r>
              <w:rPr>
                <w:rFonts w:ascii="仿宋_GB2312" w:hAnsi="仿宋_GB2312" w:cs="仿宋_GB2312" w:eastAsia="仿宋_GB2312"/>
              </w:rPr>
              <w:t>3、活动场地租赁，搭建，氛围营造，活动物料制作等。</w:t>
            </w:r>
          </w:p>
          <w:p>
            <w:pPr>
              <w:pStyle w:val="null3"/>
            </w:pPr>
            <w:r>
              <w:rPr>
                <w:rFonts w:ascii="仿宋_GB2312" w:hAnsi="仿宋_GB2312" w:cs="仿宋_GB2312" w:eastAsia="仿宋_GB2312"/>
              </w:rPr>
              <w:t>4、需具备组织企业参与本活动的能力</w:t>
            </w:r>
          </w:p>
          <w:p>
            <w:pPr>
              <w:pStyle w:val="null3"/>
            </w:pPr>
            <w:r>
              <w:rPr>
                <w:rFonts w:ascii="仿宋_GB2312" w:hAnsi="仿宋_GB2312" w:cs="仿宋_GB2312" w:eastAsia="仿宋_GB2312"/>
              </w:rPr>
              <w:t>5、活动现场管理，安保、保洁组织。</w:t>
            </w:r>
          </w:p>
          <w:p>
            <w:pPr>
              <w:pStyle w:val="null3"/>
            </w:pPr>
            <w:r>
              <w:rPr>
                <w:rFonts w:ascii="仿宋_GB2312" w:hAnsi="仿宋_GB2312" w:cs="仿宋_GB2312" w:eastAsia="仿宋_GB2312"/>
              </w:rPr>
              <w:t>6、活动各类文字的策划、撰写。</w:t>
            </w:r>
          </w:p>
          <w:p>
            <w:pPr>
              <w:pStyle w:val="null3"/>
            </w:pPr>
            <w:r>
              <w:rPr>
                <w:rFonts w:ascii="仿宋_GB2312" w:hAnsi="仿宋_GB2312" w:cs="仿宋_GB2312" w:eastAsia="仿宋_GB2312"/>
              </w:rPr>
              <w:t>7、活动现场的摄影、摄像，以及在各类媒体上对活动进行宣传推广。</w:t>
            </w:r>
          </w:p>
          <w:p>
            <w:pPr>
              <w:pStyle w:val="null3"/>
            </w:pPr>
            <w:r>
              <w:rPr>
                <w:rFonts w:ascii="仿宋_GB2312" w:hAnsi="仿宋_GB2312" w:cs="仿宋_GB2312" w:eastAsia="仿宋_GB2312"/>
              </w:rPr>
              <w:t>三、技术要求（如有，一般适合于技术服务项目）</w:t>
            </w:r>
          </w:p>
          <w:p>
            <w:pPr>
              <w:pStyle w:val="null3"/>
            </w:pPr>
            <w:r>
              <w:rPr>
                <w:rFonts w:ascii="仿宋_GB2312" w:hAnsi="仿宋_GB2312" w:cs="仿宋_GB2312" w:eastAsia="仿宋_GB2312"/>
              </w:rPr>
              <w:t>本次活动所有搭建，相关物料制作，必须符合相关行业的标准，并做好本次活动资料的留存，包括但不限于现场摄影摄像等资料。</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四、服务要求（如对人员配置、专业设备、服务标准等）</w:t>
            </w:r>
          </w:p>
          <w:p>
            <w:pPr>
              <w:pStyle w:val="null3"/>
            </w:pPr>
            <w:r>
              <w:rPr>
                <w:rFonts w:ascii="仿宋_GB2312" w:hAnsi="仿宋_GB2312" w:cs="仿宋_GB2312" w:eastAsia="仿宋_GB2312"/>
              </w:rPr>
              <w:t>1、活动策划和具体组织实施，制定活动实施方案、现场搭建方案、各类应急预案，内容详见、方便可行，能够完全满足采购人需求；</w:t>
            </w:r>
          </w:p>
          <w:p>
            <w:pPr>
              <w:pStyle w:val="null3"/>
            </w:pPr>
            <w:r>
              <w:rPr>
                <w:rFonts w:ascii="仿宋_GB2312" w:hAnsi="仿宋_GB2312" w:cs="仿宋_GB2312" w:eastAsia="仿宋_GB2312"/>
              </w:rPr>
              <w:t>2、活动场地租赁，搭建，氛围营造，活动相关物料制作等；</w:t>
            </w:r>
          </w:p>
          <w:p>
            <w:pPr>
              <w:pStyle w:val="null3"/>
            </w:pPr>
            <w:r>
              <w:rPr>
                <w:rFonts w:ascii="仿宋_GB2312" w:hAnsi="仿宋_GB2312" w:cs="仿宋_GB2312" w:eastAsia="仿宋_GB2312"/>
              </w:rPr>
              <w:t>3、活动现场管理，安保、保洁组织。</w:t>
            </w:r>
          </w:p>
          <w:p>
            <w:pPr>
              <w:pStyle w:val="null3"/>
            </w:pPr>
            <w:r>
              <w:rPr>
                <w:rFonts w:ascii="仿宋_GB2312" w:hAnsi="仿宋_GB2312" w:cs="仿宋_GB2312" w:eastAsia="仿宋_GB2312"/>
              </w:rPr>
              <w:t>4、活动各类文字的策划、撰写。</w:t>
            </w:r>
          </w:p>
          <w:p>
            <w:pPr>
              <w:pStyle w:val="null3"/>
            </w:pPr>
            <w:r>
              <w:rPr>
                <w:rFonts w:ascii="仿宋_GB2312" w:hAnsi="仿宋_GB2312" w:cs="仿宋_GB2312" w:eastAsia="仿宋_GB2312"/>
              </w:rPr>
              <w:t>5、摄影、摄像和活动宣传的组织。</w:t>
            </w:r>
          </w:p>
          <w:p>
            <w:pPr>
              <w:pStyle w:val="null3"/>
            </w:pPr>
            <w:r>
              <w:rPr>
                <w:rFonts w:ascii="仿宋_GB2312" w:hAnsi="仿宋_GB2312" w:cs="仿宋_GB2312" w:eastAsia="仿宋_GB2312"/>
              </w:rPr>
              <w:t>6、在严格遵守安保、消防等相关安全规定的情况下，按时按质按量完成活动现场各项工作，确保活动效果呈现。</w:t>
            </w:r>
          </w:p>
          <w:p>
            <w:pPr>
              <w:pStyle w:val="null3"/>
            </w:pPr>
            <w:r>
              <w:rPr>
                <w:rFonts w:ascii="仿宋_GB2312" w:hAnsi="仿宋_GB2312" w:cs="仿宋_GB2312" w:eastAsia="仿宋_GB2312"/>
              </w:rPr>
              <w:t>五、商务要求（如服务期限、款项结算等）</w:t>
            </w:r>
          </w:p>
          <w:p>
            <w:pPr>
              <w:pStyle w:val="null3"/>
            </w:pPr>
            <w:r>
              <w:rPr>
                <w:rFonts w:ascii="仿宋_GB2312" w:hAnsi="仿宋_GB2312" w:cs="仿宋_GB2312" w:eastAsia="仿宋_GB2312"/>
              </w:rPr>
              <w:t>（一）服务期限</w:t>
            </w:r>
          </w:p>
          <w:p>
            <w:pPr>
              <w:pStyle w:val="null3"/>
            </w:pPr>
            <w:r>
              <w:rPr>
                <w:rFonts w:ascii="仿宋_GB2312" w:hAnsi="仿宋_GB2312" w:cs="仿宋_GB2312" w:eastAsia="仿宋_GB2312"/>
              </w:rPr>
              <w:t>自合同签订之日起至2025年10月31日。</w:t>
            </w:r>
          </w:p>
          <w:p>
            <w:pPr>
              <w:pStyle w:val="null3"/>
            </w:pPr>
            <w:r>
              <w:rPr>
                <w:rFonts w:ascii="仿宋_GB2312" w:hAnsi="仿宋_GB2312" w:cs="仿宋_GB2312" w:eastAsia="仿宋_GB2312"/>
              </w:rPr>
              <w:t>（二）款项结算</w:t>
            </w:r>
          </w:p>
          <w:p>
            <w:pPr>
              <w:pStyle w:val="null3"/>
            </w:pPr>
            <w:r>
              <w:rPr>
                <w:rFonts w:ascii="仿宋_GB2312" w:hAnsi="仿宋_GB2312" w:cs="仿宋_GB2312" w:eastAsia="仿宋_GB2312"/>
              </w:rPr>
              <w:t>合同签订后 ，达到付款条件起15 日内，支付合同总金额的 40%。活动结束、经验收合格后，达到付款条件起 30日内，支付合同总金额的60%。</w:t>
            </w:r>
          </w:p>
          <w:p>
            <w:pPr>
              <w:pStyle w:val="null3"/>
            </w:pPr>
            <w:r>
              <w:rPr>
                <w:rFonts w:ascii="仿宋_GB2312" w:hAnsi="仿宋_GB2312" w:cs="仿宋_GB2312" w:eastAsia="仿宋_GB2312"/>
              </w:rPr>
              <w:t>六、其他（如有要求，请写明）</w:t>
            </w:r>
          </w:p>
          <w:p>
            <w:pPr>
              <w:pStyle w:val="null3"/>
            </w:pPr>
            <w:r>
              <w:rPr>
                <w:rFonts w:ascii="仿宋_GB2312" w:hAnsi="仿宋_GB2312" w:cs="仿宋_GB2312" w:eastAsia="仿宋_GB2312"/>
              </w:rPr>
              <w:t>（一）对服务商的业绩要求</w:t>
            </w:r>
          </w:p>
          <w:p>
            <w:pPr>
              <w:pStyle w:val="null3"/>
            </w:pPr>
            <w:r>
              <w:rPr>
                <w:rFonts w:ascii="仿宋_GB2312" w:hAnsi="仿宋_GB2312" w:cs="仿宋_GB2312" w:eastAsia="仿宋_GB2312"/>
              </w:rPr>
              <w:t>类似项目业绩</w:t>
            </w:r>
          </w:p>
          <w:p>
            <w:pPr>
              <w:pStyle w:val="null3"/>
            </w:pPr>
            <w:r>
              <w:rPr>
                <w:rFonts w:ascii="仿宋_GB2312" w:hAnsi="仿宋_GB2312" w:cs="仿宋_GB2312" w:eastAsia="仿宋_GB2312"/>
              </w:rPr>
              <w:t>（二）进度要求</w:t>
            </w:r>
          </w:p>
          <w:p>
            <w:pPr>
              <w:pStyle w:val="null3"/>
            </w:pPr>
            <w:r>
              <w:rPr>
                <w:rFonts w:ascii="仿宋_GB2312" w:hAnsi="仿宋_GB2312" w:cs="仿宋_GB2312" w:eastAsia="仿宋_GB2312"/>
              </w:rPr>
              <w:t>按甲方进度要求组织。</w:t>
            </w:r>
          </w:p>
          <w:p>
            <w:pPr>
              <w:pStyle w:val="null3"/>
            </w:pPr>
            <w:r>
              <w:rPr>
                <w:rFonts w:ascii="仿宋_GB2312" w:hAnsi="仿宋_GB2312" w:cs="仿宋_GB2312" w:eastAsia="仿宋_GB2312"/>
              </w:rPr>
              <w:t>（三）成果交付要求</w:t>
            </w:r>
          </w:p>
          <w:p>
            <w:pPr>
              <w:pStyle w:val="null3"/>
            </w:pPr>
            <w:r>
              <w:rPr>
                <w:rFonts w:ascii="仿宋_GB2312" w:hAnsi="仿宋_GB2312" w:cs="仿宋_GB2312" w:eastAsia="仿宋_GB2312"/>
              </w:rPr>
              <w:t>需达到采购人对项目的具体要求。</w:t>
            </w:r>
          </w:p>
          <w:p>
            <w:pPr>
              <w:pStyle w:val="null3"/>
            </w:pPr>
            <w:r>
              <w:rPr>
                <w:rFonts w:ascii="仿宋_GB2312" w:hAnsi="仿宋_GB2312" w:cs="仿宋_GB2312" w:eastAsia="仿宋_GB2312"/>
              </w:rPr>
              <w:t>（四）质量验收标准或规范</w:t>
            </w:r>
          </w:p>
          <w:p>
            <w:pPr>
              <w:pStyle w:val="null3"/>
            </w:pPr>
            <w:r>
              <w:rPr>
                <w:rFonts w:ascii="仿宋_GB2312" w:hAnsi="仿宋_GB2312" w:cs="仿宋_GB2312" w:eastAsia="仿宋_GB2312"/>
              </w:rPr>
              <w:t>1、服务期满后按照成交供应商所提供的资料及数据进行验收；</w:t>
            </w:r>
          </w:p>
          <w:p>
            <w:pPr>
              <w:pStyle w:val="null3"/>
            </w:pPr>
            <w:r>
              <w:rPr>
                <w:rFonts w:ascii="仿宋_GB2312" w:hAnsi="仿宋_GB2312" w:cs="仿宋_GB2312" w:eastAsia="仿宋_GB2312"/>
              </w:rPr>
              <w:t>2、最终验收：自合同签订之日起至完成全部项目内容，需按照采购人确定的时间完成交付并验收合格，验收合格后，填写验收单。</w:t>
            </w:r>
          </w:p>
          <w:p>
            <w:pPr>
              <w:pStyle w:val="null3"/>
            </w:pPr>
            <w:r>
              <w:rPr>
                <w:rFonts w:ascii="仿宋_GB2312" w:hAnsi="仿宋_GB2312" w:cs="仿宋_GB2312" w:eastAsia="仿宋_GB2312"/>
              </w:rPr>
              <w:t>3、验收和评价方式</w:t>
            </w:r>
          </w:p>
          <w:p>
            <w:pPr>
              <w:pStyle w:val="null3"/>
            </w:pPr>
            <w:r>
              <w:rPr>
                <w:rFonts w:ascii="仿宋_GB2312" w:hAnsi="仿宋_GB2312" w:cs="仿宋_GB2312" w:eastAsia="仿宋_GB2312"/>
              </w:rPr>
              <w:t>3.1  乙方提供的服务最终验收达不到磋商文件要求和磋商响应文件承诺及国家或行业标准，或在使用中发现甲方不能容忍的缺陷等，将视为验收不合格，乙方应在甲方要求的时间内无条件完善或要求赔付采购人损失。</w:t>
            </w:r>
          </w:p>
          <w:p>
            <w:pPr>
              <w:pStyle w:val="null3"/>
            </w:pPr>
            <w:r>
              <w:rPr>
                <w:rFonts w:ascii="仿宋_GB2312" w:hAnsi="仿宋_GB2312" w:cs="仿宋_GB2312" w:eastAsia="仿宋_GB2312"/>
              </w:rPr>
              <w:t>3.2  若发现乙方有弄虚作假的，及在项目实施阶段故意或随意夸大服务，本项目合同解除，乙方赔偿甲方相应的损失。</w:t>
            </w:r>
          </w:p>
          <w:p>
            <w:pPr>
              <w:pStyle w:val="null3"/>
            </w:pPr>
            <w:r>
              <w:rPr>
                <w:rFonts w:ascii="仿宋_GB2312" w:hAnsi="仿宋_GB2312" w:cs="仿宋_GB2312" w:eastAsia="仿宋_GB2312"/>
              </w:rPr>
              <w:t>3.3  验收标准：按磋商文件、磋商响应文件等服务指标进行逐项验收，各项指标均应符合验收标准及要求。</w:t>
            </w:r>
          </w:p>
          <w:p>
            <w:pPr>
              <w:pStyle w:val="null3"/>
            </w:pPr>
            <w:r>
              <w:rPr>
                <w:rFonts w:ascii="仿宋_GB2312" w:hAnsi="仿宋_GB2312" w:cs="仿宋_GB2312" w:eastAsia="仿宋_GB2312"/>
              </w:rPr>
              <w:t>3.4  验收合格后，填写验收单，双方盖章、签字生效。</w:t>
            </w:r>
          </w:p>
          <w:p>
            <w:pPr>
              <w:pStyle w:val="null3"/>
            </w:pPr>
            <w:r>
              <w:rPr>
                <w:rFonts w:ascii="仿宋_GB2312" w:hAnsi="仿宋_GB2312" w:cs="仿宋_GB2312" w:eastAsia="仿宋_GB2312"/>
              </w:rPr>
              <w:t>3.5  验收依据</w:t>
            </w:r>
          </w:p>
          <w:p>
            <w:pPr>
              <w:pStyle w:val="null3"/>
            </w:pPr>
            <w:r>
              <w:rPr>
                <w:rFonts w:ascii="仿宋_GB2312" w:hAnsi="仿宋_GB2312" w:cs="仿宋_GB2312" w:eastAsia="仿宋_GB2312"/>
              </w:rPr>
              <w:t>3.5.1  合同文本。</w:t>
            </w:r>
          </w:p>
          <w:p>
            <w:pPr>
              <w:pStyle w:val="null3"/>
            </w:pPr>
            <w:r>
              <w:rPr>
                <w:rFonts w:ascii="仿宋_GB2312" w:hAnsi="仿宋_GB2312" w:cs="仿宋_GB2312" w:eastAsia="仿宋_GB2312"/>
              </w:rPr>
              <w:t>3.5.2  磋商响应文件、磋商文件、澄清函。</w:t>
            </w:r>
          </w:p>
          <w:p>
            <w:pPr>
              <w:pStyle w:val="null3"/>
            </w:pPr>
            <w:r>
              <w:rPr>
                <w:rFonts w:ascii="仿宋_GB2312" w:hAnsi="仿宋_GB2312" w:cs="仿宋_GB2312" w:eastAsia="仿宋_GB2312"/>
              </w:rPr>
              <w:t>3.5.3  国家和行业制定的相应的标准和规范。</w:t>
            </w:r>
          </w:p>
          <w:p>
            <w:pPr>
              <w:pStyle w:val="null3"/>
            </w:pPr>
            <w:r>
              <w:rPr>
                <w:rFonts w:ascii="仿宋_GB2312" w:hAnsi="仿宋_GB2312" w:cs="仿宋_GB2312" w:eastAsia="仿宋_GB2312"/>
              </w:rPr>
              <w:t>（五）违约责任</w:t>
            </w:r>
          </w:p>
          <w:p>
            <w:pPr>
              <w:pStyle w:val="null3"/>
            </w:pPr>
            <w:r>
              <w:rPr>
                <w:rFonts w:ascii="仿宋_GB2312" w:hAnsi="仿宋_GB2312" w:cs="仿宋_GB2312" w:eastAsia="仿宋_GB2312"/>
              </w:rPr>
              <w:t>1、按《中华人民共和国民法典》中的相关条款执行。</w:t>
            </w:r>
          </w:p>
          <w:p>
            <w:pPr>
              <w:pStyle w:val="null3"/>
            </w:pPr>
            <w:r>
              <w:rPr>
                <w:rFonts w:ascii="仿宋_GB2312" w:hAnsi="仿宋_GB2312" w:cs="仿宋_GB2312" w:eastAsia="仿宋_GB2312"/>
              </w:rPr>
              <w:t>2、乙方未按协议要求提供服务或服务质量不能满足协议要求的，甲方应当将供应商违约的情况以及拟采取的措施以书面形式报政府采购监管部门，根据政府采购监管部门的处理意见，甲方有权依据《中华人民共和国民法典》有关条款及合同约定终止合同，并要求乙方承担违约责任。同时，政府采购监管部门有权依据《中华人民共和国政府采购法》及相关法律法规对乙方的违法行为进行相应的处罚。</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详见采购需求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自合同签订之日起至2025年10月31日。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自合同签订之日起至完成全部项目内容，需按照采购人确定的时间完成交付并验收合格，验收合格后，填写验收单。</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活动结束、经验收合格后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1、按《民法典》中的相关条款执行。 2、乙方未按协议要求提供服务或服务质量不能满足协议要求的，甲方应当将供应商违约的情况以及拟采取的措施以书面形式报政府采购监管部门，根据政府采购监管部门的处理意见，甲方有权依据《民法典》有关条款及合同约定终止合同，并要求乙方承担违约责任。同时，政府采购监管部门有权依据《政府采购法》及相关法律法规对乙方的违法行为进行相应的处罚。 3、由于“疫情”等不可抗力因素造成无法按照原计划提供服务，双方互不追究违约责任。 4、如有异议另行协商。</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详见采购文件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具有独立承担民事责任能力的法人、其他组织或自然人，并出具合法有效的统一社会信用代码的营业执照或事业单位法人证书等国家规定的相关证明，自然人参与的提供其身份证明；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特定资格证明文件.docx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法人授权书</w:t>
            </w:r>
          </w:p>
        </w:tc>
        <w:tc>
          <w:tcPr>
            <w:tcW w:type="dxa" w:w="3322"/>
          </w:tcPr>
          <w:p>
            <w:pPr>
              <w:pStyle w:val="null3"/>
            </w:pPr>
            <w:r>
              <w:rPr>
                <w:rFonts w:ascii="仿宋_GB2312" w:hAnsi="仿宋_GB2312" w:cs="仿宋_GB2312" w:eastAsia="仿宋_GB2312"/>
              </w:rPr>
              <w:t>提供法定代表人授权书（附法定代表人、被授权人身份证复印件），法定代表人直接参加磋商，须提供法定代表人身份证明（附法定代表人身份证复印件）；</w:t>
            </w:r>
          </w:p>
        </w:tc>
        <w:tc>
          <w:tcPr>
            <w:tcW w:type="dxa" w:w="1661"/>
          </w:tcPr>
          <w:p>
            <w:pPr>
              <w:pStyle w:val="null3"/>
            </w:pPr>
            <w:r>
              <w:rPr>
                <w:rFonts w:ascii="仿宋_GB2312" w:hAnsi="仿宋_GB2312" w:cs="仿宋_GB2312" w:eastAsia="仿宋_GB2312"/>
              </w:rPr>
              <w:t>特定资格证明文件.docx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财务审计报告</w:t>
            </w:r>
          </w:p>
        </w:tc>
        <w:tc>
          <w:tcPr>
            <w:tcW w:type="dxa" w:w="3322"/>
          </w:tcPr>
          <w:p>
            <w:pPr>
              <w:pStyle w:val="null3"/>
            </w:pPr>
            <w:r>
              <w:rPr>
                <w:rFonts w:ascii="仿宋_GB2312" w:hAnsi="仿宋_GB2312" w:cs="仿宋_GB2312" w:eastAsia="仿宋_GB2312"/>
              </w:rPr>
              <w:t>提供2023年度或2024年度的财务审计报告（成立时间至提交响应文件截止时间不足一年的可提供成立后任意时段的资产负债表），或开标时间前六个月内银行出具的资信证明；</w:t>
            </w:r>
          </w:p>
        </w:tc>
        <w:tc>
          <w:tcPr>
            <w:tcW w:type="dxa" w:w="1661"/>
          </w:tcPr>
          <w:p>
            <w:pPr>
              <w:pStyle w:val="null3"/>
            </w:pPr>
            <w:r>
              <w:rPr>
                <w:rFonts w:ascii="仿宋_GB2312" w:hAnsi="仿宋_GB2312" w:cs="仿宋_GB2312" w:eastAsia="仿宋_GB2312"/>
              </w:rPr>
              <w:t>特定资格证明文件.docx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提供2024年6月至今已缴纳的任意1个月的纳税证明或完税证明（任意税种），依法免税的单位应提供相关证明材料;</w:t>
            </w:r>
          </w:p>
        </w:tc>
        <w:tc>
          <w:tcPr>
            <w:tcW w:type="dxa" w:w="1661"/>
          </w:tcPr>
          <w:p>
            <w:pPr>
              <w:pStyle w:val="null3"/>
            </w:pPr>
            <w:r>
              <w:rPr>
                <w:rFonts w:ascii="仿宋_GB2312" w:hAnsi="仿宋_GB2312" w:cs="仿宋_GB2312" w:eastAsia="仿宋_GB2312"/>
              </w:rPr>
              <w:t>特定资格证明文件.docx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提供2024年6月至今已缴纳的任意1个月的社会保障资金缴存单据或社保机构开具的社会保险参保缴费情况证明，依法不需要缴纳社会保障资金的单位应提供相关证明材料；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特定资格证明文件.docx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履约承诺</w:t>
            </w:r>
          </w:p>
        </w:tc>
        <w:tc>
          <w:tcPr>
            <w:tcW w:type="dxa" w:w="3322"/>
          </w:tcPr>
          <w:p>
            <w:pPr>
              <w:pStyle w:val="null3"/>
            </w:pPr>
            <w:r>
              <w:rPr>
                <w:rFonts w:ascii="仿宋_GB2312" w:hAnsi="仿宋_GB2312" w:cs="仿宋_GB2312" w:eastAsia="仿宋_GB2312"/>
              </w:rPr>
              <w:t>提供具有履行本合同所必需的设备和专业技术能力的说明及承诺书；</w:t>
            </w:r>
          </w:p>
        </w:tc>
        <w:tc>
          <w:tcPr>
            <w:tcW w:type="dxa" w:w="1661"/>
          </w:tcPr>
          <w:p>
            <w:pPr>
              <w:pStyle w:val="null3"/>
            </w:pPr>
            <w:r>
              <w:rPr>
                <w:rFonts w:ascii="仿宋_GB2312" w:hAnsi="仿宋_GB2312" w:cs="仿宋_GB2312" w:eastAsia="仿宋_GB2312"/>
              </w:rPr>
              <w:t>特定资格证明文件.docx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信用中国</w:t>
            </w:r>
          </w:p>
        </w:tc>
        <w:tc>
          <w:tcPr>
            <w:tcW w:type="dxa" w:w="3322"/>
          </w:tcPr>
          <w:p>
            <w:pPr>
              <w:pStyle w:val="null3"/>
            </w:pPr>
            <w:r>
              <w:rPr>
                <w:rFonts w:ascii="仿宋_GB2312" w:hAnsi="仿宋_GB2312" w:cs="仿宋_GB2312" w:eastAsia="仿宋_GB2312"/>
              </w:rPr>
              <w:t>供应商应通过“信用中国”网站(www.creditchina.gov.cn)、中国政府采购网(www.ccgp.gov.cn)查询相关主体信用记录；</w:t>
            </w:r>
          </w:p>
        </w:tc>
        <w:tc>
          <w:tcPr>
            <w:tcW w:type="dxa" w:w="1661"/>
          </w:tcPr>
          <w:p>
            <w:pPr>
              <w:pStyle w:val="null3"/>
            </w:pPr>
            <w:r>
              <w:rPr>
                <w:rFonts w:ascii="仿宋_GB2312" w:hAnsi="仿宋_GB2312" w:cs="仿宋_GB2312" w:eastAsia="仿宋_GB2312"/>
              </w:rPr>
              <w:t>特定资格证明文件.docx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特定资格证明文件.docx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供应商须提供中小企业声明函；</w:t>
            </w:r>
          </w:p>
        </w:tc>
        <w:tc>
          <w:tcPr>
            <w:tcW w:type="dxa" w:w="1661"/>
          </w:tcPr>
          <w:p>
            <w:pPr>
              <w:pStyle w:val="null3"/>
            </w:pPr>
            <w:r>
              <w:rPr>
                <w:rFonts w:ascii="仿宋_GB2312" w:hAnsi="仿宋_GB2312" w:cs="仿宋_GB2312" w:eastAsia="仿宋_GB2312"/>
              </w:rPr>
              <w:t>中小企业声明函 特定资格证明文件.docx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非联合体承诺</w:t>
            </w:r>
          </w:p>
        </w:tc>
        <w:tc>
          <w:tcPr>
            <w:tcW w:type="dxa" w:w="3322"/>
          </w:tcPr>
          <w:p>
            <w:pPr>
              <w:pStyle w:val="null3"/>
            </w:pPr>
            <w:r>
              <w:rPr>
                <w:rFonts w:ascii="仿宋_GB2312" w:hAnsi="仿宋_GB2312" w:cs="仿宋_GB2312" w:eastAsia="仿宋_GB2312"/>
              </w:rPr>
              <w:t>本项目不接受联合体磋商（提供承诺书）。</w:t>
            </w:r>
          </w:p>
        </w:tc>
        <w:tc>
          <w:tcPr>
            <w:tcW w:type="dxa" w:w="1661"/>
          </w:tcPr>
          <w:p>
            <w:pPr>
              <w:pStyle w:val="null3"/>
            </w:pPr>
            <w:r>
              <w:rPr>
                <w:rFonts w:ascii="仿宋_GB2312" w:hAnsi="仿宋_GB2312" w:cs="仿宋_GB2312" w:eastAsia="仿宋_GB2312"/>
              </w:rPr>
              <w:t>特定资格证明文件.docx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竞争性磋商响应文件的完整性</w:t>
            </w:r>
          </w:p>
        </w:tc>
        <w:tc>
          <w:tcPr>
            <w:tcW w:type="dxa" w:w="3322"/>
          </w:tcPr>
          <w:p>
            <w:pPr>
              <w:pStyle w:val="null3"/>
            </w:pPr>
            <w:r>
              <w:rPr>
                <w:rFonts w:ascii="仿宋_GB2312" w:hAnsi="仿宋_GB2312" w:cs="仿宋_GB2312" w:eastAsia="仿宋_GB2312"/>
              </w:rPr>
              <w:t>竞争性磋商响应文件构成是否有重大缺项，是否按照竞争性磋商文件要求的格式编写竞争性磋商响应文件</w:t>
            </w:r>
          </w:p>
        </w:tc>
        <w:tc>
          <w:tcPr>
            <w:tcW w:type="dxa" w:w="1661"/>
          </w:tcPr>
          <w:p>
            <w:pPr>
              <w:pStyle w:val="null3"/>
            </w:pPr>
            <w:r>
              <w:rPr>
                <w:rFonts w:ascii="仿宋_GB2312" w:hAnsi="仿宋_GB2312" w:cs="仿宋_GB2312" w:eastAsia="仿宋_GB2312"/>
              </w:rPr>
              <w:t>业绩.docx 服务内容及服务邀请应答表 中小企业声明函 商务应答表 特定资格证明文件.docx 供应商应提交的相关资格证明材料 报价表 响应文件封面 本项目拟投入人员汇总表.docx 残疾人福利性单位声明函 服务方案 标的清单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竞争性磋商响应文件的有效性</w:t>
            </w:r>
          </w:p>
        </w:tc>
        <w:tc>
          <w:tcPr>
            <w:tcW w:type="dxa" w:w="3322"/>
          </w:tcPr>
          <w:p>
            <w:pPr>
              <w:pStyle w:val="null3"/>
            </w:pPr>
            <w:r>
              <w:rPr>
                <w:rFonts w:ascii="仿宋_GB2312" w:hAnsi="仿宋_GB2312" w:cs="仿宋_GB2312" w:eastAsia="仿宋_GB2312"/>
              </w:rPr>
              <w:t>竞争性磋商响应文件的签署、加盖印章是否合格、有效；提供的各种证明文件、数据、资料是否真实、有效</w:t>
            </w:r>
          </w:p>
        </w:tc>
        <w:tc>
          <w:tcPr>
            <w:tcW w:type="dxa" w:w="1661"/>
          </w:tcPr>
          <w:p>
            <w:pPr>
              <w:pStyle w:val="null3"/>
            </w:pPr>
            <w:r>
              <w:rPr>
                <w:rFonts w:ascii="仿宋_GB2312" w:hAnsi="仿宋_GB2312" w:cs="仿宋_GB2312" w:eastAsia="仿宋_GB2312"/>
              </w:rPr>
              <w:t>业绩.docx 服务内容及服务邀请应答表 中小企业声明函 商务应答表 特定资格证明文件.docx 供应商应提交的相关资格证明材料 报价表 响应文件封面 本项目拟投入人员汇总表.docx 残疾人福利性单位声明函 服务方案 标的清单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竞争性磋商响应文件的响应性</w:t>
            </w:r>
          </w:p>
        </w:tc>
        <w:tc>
          <w:tcPr>
            <w:tcW w:type="dxa" w:w="3322"/>
          </w:tcPr>
          <w:p>
            <w:pPr>
              <w:pStyle w:val="null3"/>
            </w:pPr>
            <w:r>
              <w:rPr>
                <w:rFonts w:ascii="仿宋_GB2312" w:hAnsi="仿宋_GB2312" w:cs="仿宋_GB2312" w:eastAsia="仿宋_GB2312"/>
              </w:rPr>
              <w:t>磋商有效期是否符合竞争性磋商文件要求；是否满足本次磋商的特殊要求；磋商方案是否有重大缺漏项；磋商商务响应条款是否有重大偏离；对合同中规定的双方的权利和义务是否做出了实质性修改。</w:t>
            </w:r>
          </w:p>
        </w:tc>
        <w:tc>
          <w:tcPr>
            <w:tcW w:type="dxa" w:w="1661"/>
          </w:tcPr>
          <w:p>
            <w:pPr>
              <w:pStyle w:val="null3"/>
            </w:pPr>
            <w:r>
              <w:rPr>
                <w:rFonts w:ascii="仿宋_GB2312" w:hAnsi="仿宋_GB2312" w:cs="仿宋_GB2312" w:eastAsia="仿宋_GB2312"/>
              </w:rPr>
              <w:t>业绩.docx 服务内容及服务邀请应答表 中小企业声明函 商务应答表 特定资格证明文件.docx 供应商应提交的相关资格证明材料 报价表 响应文件封面 本项目拟投入人员汇总表.docx 残疾人福利性单位声明函 服务方案 标的清单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详细评审90.0000分</w:t>
            </w:r>
          </w:p>
          <w:p>
            <w:pPr>
              <w:pStyle w:val="null3"/>
            </w:pPr>
            <w:r>
              <w:rPr>
                <w:rFonts w:ascii="仿宋_GB2312" w:hAnsi="仿宋_GB2312" w:cs="仿宋_GB2312" w:eastAsia="仿宋_GB2312"/>
              </w:rPr>
              <w:t>报价得分10.0000分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需求响应</w:t>
            </w:r>
          </w:p>
        </w:tc>
        <w:tc>
          <w:tcPr>
            <w:tcW w:type="dxa" w:w="2492"/>
          </w:tcPr>
          <w:p>
            <w:pPr>
              <w:pStyle w:val="null3"/>
            </w:pPr>
            <w:r>
              <w:rPr>
                <w:rFonts w:ascii="仿宋_GB2312" w:hAnsi="仿宋_GB2312" w:cs="仿宋_GB2312" w:eastAsia="仿宋_GB2312"/>
              </w:rPr>
              <w:t>一、评审内容针对本项目提出适用于本项目的需求响应方案，包括：①项目理解②需求分析③项目重难点分析 二、评审标准 1、完整性：方案必须全面，对评审内容中的各项要求有详细描述； 2、可实施性：切合本项目实际情况，提出步骤清晰、合理的方案； 3、针对性：方案能够紧扣项目实际情况，内容科学合理。 三、赋分标准（满分9分） ①项目理解：每完全满足一个评审标准得 1分，满分3分； ②需求分析：每完全满足一个评审标准得1分，满分3分； ③项目重难点分析：每完全满足一个评审标准得1 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一、评审内容 针对本项目提出适用于本项目的服务方案，包括：①整体服务方案②项目实施计划③组织实施方案 二、评审标准 1、完整性：方案必须全面，对评审内容中的各项要求有详细描述； 2、可实施性：切合本项目实际情况，提出步骤清晰、合理的方案； 3、针对性：方案能够紧扣项目实际情况，内容科学合理。 三、赋分标准（满分15分） ①整体服务方案：每完全满足一个评审标准得1.5分，满分4.5分； ②项目实施计划：每完全满足一个评审标准得1.5分，满分4.5分； ③组织实施方案：每完全满足一个评审标准得2分，满分6分。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相关管理措施</w:t>
            </w:r>
          </w:p>
        </w:tc>
        <w:tc>
          <w:tcPr>
            <w:tcW w:type="dxa" w:w="2492"/>
          </w:tcPr>
          <w:p>
            <w:pPr>
              <w:pStyle w:val="null3"/>
            </w:pPr>
            <w:r>
              <w:rPr>
                <w:rFonts w:ascii="仿宋_GB2312" w:hAnsi="仿宋_GB2312" w:cs="仿宋_GB2312" w:eastAsia="仿宋_GB2312"/>
              </w:rPr>
              <w:t>一、评审内容 针对采购需求提出适用于本项目的措施方案，方案包括：①质量保证措施②进度控制措施③安全保障措施 二、评审标准 1、完整性：方案必须全面，对评审内容中的各项要求有详细描述； 2、可实施性：切合本项目实际情况，提出步骤清晰、合理的方案； 3、针对性：方案能够紧扣项目实际情况，内容科学合理。 三、赋分标准（满分12分） ①质量保证措施：每完全满足一个评审标准得1分，满分3分； ②进度控制措施：每完全满足一个评审标准得1分，满分3分； ③安全管理措施：每完全满足一个评审标准得2分，满分6分。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活动实施方案</w:t>
            </w:r>
          </w:p>
        </w:tc>
        <w:tc>
          <w:tcPr>
            <w:tcW w:type="dxa" w:w="2492"/>
          </w:tcPr>
          <w:p>
            <w:pPr>
              <w:pStyle w:val="null3"/>
            </w:pPr>
            <w:r>
              <w:rPr>
                <w:rFonts w:ascii="仿宋_GB2312" w:hAnsi="仿宋_GB2312" w:cs="仿宋_GB2312" w:eastAsia="仿宋_GB2312"/>
              </w:rPr>
              <w:t>一、评审内容 针对本项目提出适用于本项目的活动服务方案，方案包括：①活动整体策划方案②活动现场布置方案③活动实施安排方案 二、评审标准 1、完整性：方案必须全面，对评审内容中的各项要求有详细描述； 2、可实施性：切合本项目实际情况，提出步骤清晰、合理的方案； 3、针对性：方案能够紧扣项目实际情况，内容科学合理。 三、赋分标准（满分12分） ①整体策划方案：每完全满足一个评审标准得2分，满分6分； ②现场布置方案：每完全满足一个评审标准得1分，满分3分; ③实施安排方案：每完全满足一个评审标准得1分，满分3分。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项目实施管理方案</w:t>
            </w:r>
          </w:p>
        </w:tc>
        <w:tc>
          <w:tcPr>
            <w:tcW w:type="dxa" w:w="2492"/>
          </w:tcPr>
          <w:p>
            <w:pPr>
              <w:pStyle w:val="null3"/>
            </w:pPr>
            <w:r>
              <w:rPr>
                <w:rFonts w:ascii="仿宋_GB2312" w:hAnsi="仿宋_GB2312" w:cs="仿宋_GB2312" w:eastAsia="仿宋_GB2312"/>
              </w:rPr>
              <w:t>一、评审内容 针对本项目提出适用于本项目的实施管理方案，方案包括：①拟投入的设备、物料②人员组织管理方案③会议资料总结 二、评审标准 1、完整性：方案必须全面，对评审内容中的各项要求有详细描述； 2、可实施性：切合本项目实际情况，提出步骤清晰、合理的方案； 3、针对性：方案能够紧扣项目实际情况，内容科学合理。 三、赋分标准（满分9分） ①拟投入的设备、物料：每完全满足一个评审标准得1分，满分3分； ②人员组织管理方案：每完全满足一个评审标准得1分，满分3分； ③会议资料总结：每完全满足一个评审标准得1分，满分3分。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服务承诺及应急管理</w:t>
            </w:r>
          </w:p>
        </w:tc>
        <w:tc>
          <w:tcPr>
            <w:tcW w:type="dxa" w:w="2492"/>
          </w:tcPr>
          <w:p>
            <w:pPr>
              <w:pStyle w:val="null3"/>
            </w:pPr>
            <w:r>
              <w:rPr>
                <w:rFonts w:ascii="仿宋_GB2312" w:hAnsi="仿宋_GB2312" w:cs="仿宋_GB2312" w:eastAsia="仿宋_GB2312"/>
              </w:rPr>
              <w:t>一、评审内容 针对本项目提出适用于本项目的服务方案，方案包括：①服务承诺②应急预案③应急保障措施 二、评审标准 1、完整性：方案必须全面，对评审内容中的各项要求有详细描述； 2、可实施性：切合本项目实际情况，提出步骤清晰、合理的方案； 3、针对性：方案能够紧扣项目实际情况，内容科学合理。 三、赋分标准（满分9分） ①服务承诺：每完全满足一个评审标准得1分，满分3分； ②应急预案：每完全满足一个评审标准得1分，满分3分； ③应急保障措施：每完全满足一个评审标准得1分，满分3分。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对本项目服务工作中的常见问题进行梳理，具有良好的解决方案并及时向采购人提出合理化建议，每提供一条有效的建议得1分，满分4分。不提供不得分。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项目组人员</w:t>
            </w:r>
          </w:p>
        </w:tc>
        <w:tc>
          <w:tcPr>
            <w:tcW w:type="dxa" w:w="2492"/>
          </w:tcPr>
          <w:p>
            <w:pPr>
              <w:pStyle w:val="null3"/>
            </w:pPr>
            <w:r>
              <w:rPr>
                <w:rFonts w:ascii="仿宋_GB2312" w:hAnsi="仿宋_GB2312" w:cs="仿宋_GB2312" w:eastAsia="仿宋_GB2312"/>
              </w:rPr>
              <w:t>针对本项目拟投入人员配备方案：（1）针对本项目拟配备服务团队人员架构齐全、数量充足、专业经验丰富，配备方案合理高效，逻辑结构清晰且具有针对性的，得7-10分；（2）针对本项目拟配备服务团队人员架构基本齐全、数量基本充足、专业经验丰富，配备方案明确且具有一定合理性，逻辑结构基本清晰且具有一定针对性的，得3-7分；（3）针对本项目拟配备服务团队人员架构明确、数量不足、专业经验不足，配备方案含糊，逻辑结构不清晰且针对性不足的，得1-3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本项目拟投入人员汇总表.docx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须提供自2021年1月1日至今类似项目业绩，以供应商提供的合同或中标（成交）通知书复印件（或扫描件）为准（日期以合同签订时间或中标（成交）通知书时间为准），每提供一份得2分，满分10分；未提供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1.经初审合格的响应文件，其磋商响应报价为有效投标价。 2.有效最低报价为基准价得10分。 3.按（有效最低报价/有效投标报价）×10的公式计算其得分。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详见附件：本项目拟投入人员汇总表.docx</w:t>
      </w:r>
    </w:p>
    <w:p>
      <w:pPr>
        <w:pStyle w:val="null3"/>
        <w:ind w:firstLine="960"/>
      </w:pPr>
      <w:r>
        <w:rPr>
          <w:rFonts w:ascii="仿宋_GB2312" w:hAnsi="仿宋_GB2312" w:cs="仿宋_GB2312" w:eastAsia="仿宋_GB2312"/>
        </w:rPr>
        <w:t>详见附件：特定资格证明文件.docx</w:t>
      </w:r>
    </w:p>
    <w:p>
      <w:pPr>
        <w:pStyle w:val="null3"/>
        <w:ind w:firstLine="960"/>
      </w:pPr>
      <w:r>
        <w:rPr>
          <w:rFonts w:ascii="仿宋_GB2312" w:hAnsi="仿宋_GB2312" w:cs="仿宋_GB2312" w:eastAsia="仿宋_GB2312"/>
        </w:rPr>
        <w:t>详见附件：业绩.docx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