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1653">
      <w:pPr>
        <w:pageBreakBefore w:val="0"/>
        <w:numPr>
          <w:ilvl w:val="0"/>
          <w:numId w:val="0"/>
        </w:numPr>
        <w:kinsoku/>
        <w:wordWrap/>
        <w:topLinePunct w:val="0"/>
        <w:bidi w:val="0"/>
        <w:adjustRightInd/>
        <w:snapToGrid w:val="0"/>
        <w:spacing w:line="440" w:lineRule="exact"/>
        <w:ind w:leftChars="0"/>
        <w:jc w:val="center"/>
        <w:textAlignment w:val="auto"/>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t>供应商资格要求</w:t>
      </w:r>
    </w:p>
    <w:p w14:paraId="18294C99">
      <w:pPr>
        <w:pStyle w:val="18"/>
        <w:keepNext w:val="0"/>
        <w:keepLines w:val="0"/>
        <w:pageBreakBefore w:val="0"/>
        <w:widowControl/>
        <w:numPr>
          <w:ilvl w:val="0"/>
          <w:numId w:val="1"/>
        </w:numPr>
        <w:kinsoku/>
        <w:wordWrap/>
        <w:overflowPunct/>
        <w:topLinePunct w:val="0"/>
        <w:autoSpaceDE/>
        <w:autoSpaceDN/>
        <w:bidi w:val="0"/>
        <w:adjustRightInd/>
        <w:snapToGrid/>
        <w:spacing w:line="288" w:lineRule="auto"/>
        <w:textAlignment w:val="auto"/>
        <w:rPr>
          <w:sz w:val="24"/>
          <w:szCs w:val="24"/>
        </w:rPr>
      </w:pPr>
      <w:r>
        <w:rPr>
          <w:sz w:val="24"/>
          <w:szCs w:val="24"/>
        </w:rPr>
        <w:t>营业执照等主体资格证明文件：提供有效存续的企业营业执照（副本）/事业单位法人证书/专业服务机构执业许可证/民办非企业单位登记证书。</w:t>
      </w:r>
    </w:p>
    <w:p w14:paraId="02309412">
      <w:pPr>
        <w:pStyle w:val="18"/>
        <w:keepNext w:val="0"/>
        <w:keepLines w:val="0"/>
        <w:pageBreakBefore w:val="0"/>
        <w:widowControl/>
        <w:numPr>
          <w:ilvl w:val="0"/>
          <w:numId w:val="1"/>
        </w:numPr>
        <w:kinsoku/>
        <w:wordWrap/>
        <w:overflowPunct/>
        <w:topLinePunct w:val="0"/>
        <w:autoSpaceDE/>
        <w:autoSpaceDN/>
        <w:bidi w:val="0"/>
        <w:adjustRightInd/>
        <w:snapToGrid/>
        <w:spacing w:line="288" w:lineRule="auto"/>
        <w:textAlignment w:val="auto"/>
        <w:rPr>
          <w:sz w:val="24"/>
          <w:szCs w:val="24"/>
        </w:rPr>
      </w:pPr>
      <w:r>
        <w:rPr>
          <w:rFonts w:hint="eastAsia"/>
          <w:sz w:val="24"/>
          <w:szCs w:val="24"/>
          <w:lang w:eastAsia="zh-CN"/>
        </w:rPr>
        <w:t>资质证书：须具有</w:t>
      </w:r>
      <w:r>
        <w:rPr>
          <w:rFonts w:hint="eastAsia"/>
          <w:sz w:val="24"/>
          <w:szCs w:val="24"/>
        </w:rPr>
        <w:t>国家行政主管部门颁发的测绘乙级或以上资质</w:t>
      </w:r>
      <w:r>
        <w:rPr>
          <w:rFonts w:hint="eastAsia"/>
          <w:sz w:val="24"/>
          <w:szCs w:val="24"/>
          <w:lang w:eastAsia="zh-CN"/>
        </w:rPr>
        <w:t>。</w:t>
      </w:r>
    </w:p>
    <w:p w14:paraId="1003ADFA">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3</w:t>
      </w:r>
      <w:r>
        <w:rPr>
          <w:sz w:val="24"/>
          <w:szCs w:val="24"/>
        </w:rPr>
        <w:t>、法定代表人授权委托书：法定代表人参加磋商的，须提供本人身份证复印件（附在资格证明文件中）；法定代表人授 权他人参加磋商的，须提供法定代表人授权委托书。磋商文件中凡是需要法定代表人盖章之处，非法人单位的负责人均参照执行。法人的分支机构参与磋商时，除提供《法定代表人授权委托书》外，还须同时提供法人给分支机构出具的授权书。</w:t>
      </w:r>
    </w:p>
    <w:p w14:paraId="6A09EE01">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4</w:t>
      </w:r>
      <w:r>
        <w:rPr>
          <w:sz w:val="24"/>
          <w:szCs w:val="24"/>
        </w:rPr>
        <w:t>、财务状况报告：提供</w:t>
      </w:r>
      <w:r>
        <w:rPr>
          <w:rFonts w:hint="eastAsia"/>
          <w:sz w:val="24"/>
          <w:szCs w:val="24"/>
        </w:rPr>
        <w:t>2023年度经审计的完整的财务审计报告</w:t>
      </w:r>
      <w:r>
        <w:rPr>
          <w:sz w:val="24"/>
          <w:szCs w:val="24"/>
        </w:rPr>
        <w:t>（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3C80192C">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5</w:t>
      </w:r>
      <w:r>
        <w:rPr>
          <w:sz w:val="24"/>
          <w:szCs w:val="24"/>
        </w:rPr>
        <w:t>、书面声明：提供书面声明，包括声明具有履行合同所必需的设备和专业技术能力；未为本项目提供整体设计、规范编制或者项目管理、监理、检测等服务。</w:t>
      </w:r>
    </w:p>
    <w:p w14:paraId="02A264EC">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6</w:t>
      </w:r>
      <w:r>
        <w:rPr>
          <w:sz w:val="24"/>
          <w:szCs w:val="24"/>
        </w:rPr>
        <w:t>、社保缴纳证明：提供递交响应文件截止之日前一年内任意一个月的社会保障资金缴存单据或社保机构开具的社会保险参保缴费情况证明。依法不需要缴纳社会保障资金的供应商应提供相关文件证明。</w:t>
      </w:r>
    </w:p>
    <w:p w14:paraId="36C7CA3B">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7</w:t>
      </w:r>
      <w:r>
        <w:rPr>
          <w:sz w:val="24"/>
          <w:szCs w:val="24"/>
        </w:rPr>
        <w:t>、税收缴纳证明：提供递交响应文件截止之日前一年内任意一个月的依法缴纳税收的相关凭据（时间以税款所属日期为准、税种至少包含增值税或企业所得税），凭据应有税务机关或代收机关的公章或业务专用章。依法免税或无须缴纳税收的供应商，应提供相应证明文件。</w:t>
      </w:r>
    </w:p>
    <w:p w14:paraId="6D408B54">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8</w:t>
      </w:r>
      <w:r>
        <w:rPr>
          <w:sz w:val="24"/>
          <w:szCs w:val="24"/>
        </w:rPr>
        <w:t>、近三年无重大违法、违纪书面声明：提供《近三年无重大违法、违纪书面声明》。</w:t>
      </w:r>
    </w:p>
    <w:p w14:paraId="3AD225E1">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9</w:t>
      </w:r>
      <w:r>
        <w:rPr>
          <w:sz w:val="24"/>
          <w:szCs w:val="24"/>
        </w:rPr>
        <w:t>、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14:paraId="6ED646A3">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10</w:t>
      </w:r>
      <w:r>
        <w:rPr>
          <w:sz w:val="24"/>
          <w:szCs w:val="24"/>
        </w:rPr>
        <w:t>、控股管理关系：提供直接控股和管理关系清单。若与其他供应商存在单位负责人为同一人或者存在直接控股、管理关系的，则响应无效。</w:t>
      </w:r>
    </w:p>
    <w:p w14:paraId="52CE99A7">
      <w:pPr>
        <w:pStyle w:val="18"/>
        <w:keepNext w:val="0"/>
        <w:keepLines w:val="0"/>
        <w:pageBreakBefore w:val="0"/>
        <w:widowControl/>
        <w:kinsoku/>
        <w:wordWrap/>
        <w:overflowPunct/>
        <w:topLinePunct w:val="0"/>
        <w:autoSpaceDE/>
        <w:autoSpaceDN/>
        <w:bidi w:val="0"/>
        <w:adjustRightInd/>
        <w:snapToGrid/>
        <w:spacing w:line="288" w:lineRule="auto"/>
        <w:textAlignment w:val="auto"/>
        <w:rPr>
          <w:sz w:val="24"/>
          <w:szCs w:val="24"/>
        </w:rPr>
      </w:pPr>
      <w:r>
        <w:rPr>
          <w:rFonts w:hint="eastAsia"/>
          <w:sz w:val="24"/>
          <w:szCs w:val="24"/>
          <w:lang w:val="en-US" w:eastAsia="zh-CN"/>
        </w:rPr>
        <w:t>11</w:t>
      </w:r>
      <w:r>
        <w:rPr>
          <w:sz w:val="24"/>
          <w:szCs w:val="24"/>
        </w:rPr>
        <w:t>、本项目不接受联合体磋商，不允许分包：供应商应提供《非联合体不分包磋商声明》，视为独立磋商，不分包。</w:t>
      </w:r>
    </w:p>
    <w:p w14:paraId="163640E5">
      <w:pPr>
        <w:rPr>
          <w:rFonts w:hint="eastAsia" w:ascii="宋体" w:hAnsi="宋体"/>
          <w:b w:val="0"/>
          <w:bCs w:val="0"/>
          <w:kern w:val="2"/>
          <w:sz w:val="28"/>
          <w:szCs w:val="28"/>
          <w:highlight w:val="none"/>
          <w:lang w:val="en-US" w:eastAsia="zh-CN" w:bidi="ar-SA"/>
        </w:rPr>
      </w:pPr>
      <w:bookmarkStart w:id="2" w:name="_GoBack"/>
      <w:bookmarkEnd w:id="2"/>
      <w:r>
        <w:rPr>
          <w:rFonts w:hint="eastAsia" w:ascii="宋体" w:hAnsi="宋体"/>
          <w:b/>
          <w:bCs/>
          <w:sz w:val="24"/>
          <w:highlight w:val="none"/>
          <w:lang w:val="en-US" w:eastAsia="zh-CN"/>
        </w:rPr>
        <w:t>注：</w:t>
      </w:r>
      <w:r>
        <w:rPr>
          <w:rFonts w:hint="eastAsia" w:ascii="宋体" w:hAnsi="宋体"/>
          <w:b/>
          <w:bCs/>
          <w:sz w:val="24"/>
          <w:highlight w:val="none"/>
        </w:rPr>
        <w:t>磋商</w:t>
      </w:r>
      <w:r>
        <w:rPr>
          <w:rFonts w:hint="eastAsia" w:ascii="宋体" w:hAnsi="宋体"/>
          <w:b/>
          <w:bCs/>
          <w:sz w:val="24"/>
          <w:highlight w:val="none"/>
          <w:lang w:val="en-US" w:eastAsia="zh-CN"/>
        </w:rPr>
        <w:t>响应</w:t>
      </w:r>
      <w:r>
        <w:rPr>
          <w:rFonts w:hint="eastAsia" w:ascii="宋体" w:hAnsi="宋体"/>
          <w:b/>
          <w:bCs/>
          <w:sz w:val="24"/>
          <w:highlight w:val="none"/>
        </w:rPr>
        <w:t>文件中附以上证件的复印件</w:t>
      </w:r>
      <w:r>
        <w:rPr>
          <w:rFonts w:hint="eastAsia" w:ascii="宋体" w:hAnsi="宋体"/>
          <w:b/>
          <w:bCs/>
          <w:sz w:val="24"/>
          <w:highlight w:val="none"/>
          <w:lang w:eastAsia="zh-CN"/>
        </w:rPr>
        <w:t>（或扫描件）</w:t>
      </w:r>
      <w:r>
        <w:rPr>
          <w:rFonts w:hint="eastAsia" w:ascii="宋体" w:hAnsi="宋体"/>
          <w:b/>
          <w:bCs/>
          <w:sz w:val="24"/>
          <w:highlight w:val="none"/>
        </w:rPr>
        <w:t>并加盖</w:t>
      </w:r>
      <w:r>
        <w:rPr>
          <w:rFonts w:hint="eastAsia" w:ascii="宋体" w:hAnsi="宋体"/>
          <w:b/>
          <w:bCs/>
          <w:sz w:val="24"/>
          <w:highlight w:val="none"/>
          <w:lang w:eastAsia="zh-CN"/>
        </w:rPr>
        <w:t>单位公章</w:t>
      </w:r>
      <w:r>
        <w:rPr>
          <w:rFonts w:hint="eastAsia" w:ascii="宋体" w:hAnsi="宋体"/>
          <w:b/>
          <w:bCs/>
          <w:sz w:val="24"/>
          <w:highlight w:val="none"/>
        </w:rPr>
        <w:t>。</w:t>
      </w:r>
      <w:r>
        <w:rPr>
          <w:rFonts w:hint="eastAsia" w:ascii="宋体" w:hAnsi="宋体"/>
          <w:b w:val="0"/>
          <w:bCs w:val="0"/>
          <w:kern w:val="2"/>
          <w:sz w:val="28"/>
          <w:szCs w:val="28"/>
          <w:highlight w:val="none"/>
          <w:lang w:val="en-US" w:eastAsia="zh-CN" w:bidi="ar-SA"/>
        </w:rPr>
        <w:br w:type="page"/>
      </w:r>
    </w:p>
    <w:p w14:paraId="25640143">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0E9865FB">
      <w:pPr>
        <w:pStyle w:val="15"/>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eastAsia="宋体"/>
          <w:b/>
          <w:sz w:val="40"/>
          <w:szCs w:val="40"/>
        </w:rPr>
        <w:t>法定代表人身份证明</w:t>
      </w:r>
    </w:p>
    <w:p w14:paraId="58728FE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358A602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09C984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606ED3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BE6A8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060B3B2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5FD7B4D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p>
    <w:p w14:paraId="10FEE7C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6AAF78AC">
      <w:pPr>
        <w:pStyle w:val="6"/>
        <w:pageBreakBefore w:val="0"/>
        <w:wordWrap/>
        <w:bidi w:val="0"/>
        <w:adjustRightInd/>
        <w:spacing w:line="440" w:lineRule="exact"/>
        <w:textAlignment w:val="auto"/>
      </w:pPr>
    </w:p>
    <w:tbl>
      <w:tblPr>
        <w:tblStyle w:val="13"/>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71E3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6640" w:type="dxa"/>
          </w:tcPr>
          <w:p w14:paraId="7E4B1502">
            <w:pPr>
              <w:pStyle w:val="6"/>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01001343">
      <w:pPr>
        <w:pStyle w:val="6"/>
        <w:pageBreakBefore w:val="0"/>
        <w:wordWrap/>
        <w:bidi w:val="0"/>
        <w:adjustRightInd/>
        <w:spacing w:line="440" w:lineRule="exact"/>
        <w:ind w:left="0" w:leftChars="0" w:firstLine="0" w:firstLineChars="0"/>
        <w:textAlignment w:val="auto"/>
      </w:pPr>
    </w:p>
    <w:p w14:paraId="6102B164">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2419A73D">
      <w:pPr>
        <w:pStyle w:val="6"/>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B0EBC5A">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135DD079">
      <w:pPr>
        <w:rPr>
          <w:rFonts w:hint="eastAsia" w:ascii="宋体" w:hAnsi="宋体"/>
          <w:b w:val="0"/>
          <w:bCs w:val="0"/>
          <w:kern w:val="2"/>
          <w:sz w:val="28"/>
          <w:szCs w:val="28"/>
          <w:highlight w:val="none"/>
          <w:lang w:val="en-US" w:eastAsia="zh-CN" w:bidi="ar-SA"/>
        </w:rPr>
        <w:sectPr>
          <w:pgSz w:w="11906" w:h="16838"/>
          <w:pgMar w:top="1440" w:right="1576" w:bottom="1440" w:left="1633" w:header="851" w:footer="992" w:gutter="0"/>
          <w:cols w:space="425" w:num="1"/>
          <w:docGrid w:type="lines" w:linePitch="312" w:charSpace="0"/>
        </w:sectPr>
      </w:pPr>
    </w:p>
    <w:p w14:paraId="0D01873A">
      <w:pPr>
        <w:ind w:left="0" w:leftChars="0" w:firstLine="0" w:firstLineChars="0"/>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AE95394">
      <w:pPr>
        <w:pStyle w:val="15"/>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eastAsia="zh-CN"/>
        </w:rPr>
        <w:t>法定代表人授权书</w:t>
      </w:r>
    </w:p>
    <w:p w14:paraId="4790E099">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4EDAF204">
      <w:pPr>
        <w:keepNext w:val="0"/>
        <w:keepLines w:val="0"/>
        <w:widowControl/>
        <w:suppressLineNumbers w:val="0"/>
        <w:jc w:val="left"/>
      </w:pPr>
      <w:r>
        <w:rPr>
          <w:rFonts w:ascii="宋体" w:hAnsi="宋体"/>
          <w:sz w:val="24"/>
        </w:rPr>
        <w:t>委托期限：</w:t>
      </w:r>
      <w:r>
        <w:rPr>
          <w:rFonts w:hint="eastAsia" w:ascii="宋体" w:hAnsi="宋体"/>
          <w:sz w:val="24"/>
          <w:u w:val="single"/>
          <w:lang w:val="en-US" w:eastAsia="zh-CN"/>
        </w:rPr>
        <w:t>自授权书签署之日起，至本项目竞争性磋商文件要求的磋商响应有效期满日止。</w:t>
      </w:r>
    </w:p>
    <w:p w14:paraId="0209BAA7">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1A2FCB7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2349A2A8">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2068F5">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4AA4D5C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34A919F">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254676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154A7CAF">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tbl>
      <w:tblPr>
        <w:tblStyle w:val="12"/>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059A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jc w:val="center"/>
        </w:trPr>
        <w:tc>
          <w:tcPr>
            <w:tcW w:w="4726" w:type="dxa"/>
            <w:vAlign w:val="top"/>
          </w:tcPr>
          <w:p w14:paraId="600FCF6C">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2D3D8C9">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E317FE9">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CA55C6B">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71BC278">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55C59BDA">
      <w:pPr>
        <w:pageBreakBefore w:val="0"/>
        <w:wordWrap/>
        <w:bidi w:val="0"/>
        <w:adjustRightInd/>
        <w:spacing w:line="440" w:lineRule="exact"/>
        <w:textAlignment w:val="auto"/>
        <w:outlineLvl w:val="9"/>
        <w:rPr>
          <w:rFonts w:hint="eastAsia"/>
          <w:highlight w:val="none"/>
        </w:rPr>
      </w:pPr>
    </w:p>
    <w:p w14:paraId="3831B457">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1A828BF7">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65ED3E73">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1E327F94">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9FDB308">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62139C2">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40C610E5">
      <w:pPr>
        <w:pStyle w:val="11"/>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579868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74B775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A3F4A62">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3E3A20F">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6A2C5AEC">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4DC49CEB">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2BF83463">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12A40A01">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75D2C9C3">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D384AA1">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1CBB9828">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6F4428B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3542C41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73853B4">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5AEEC634">
      <w:pPr>
        <w:pStyle w:val="11"/>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061CCB0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A11972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6DA78020">
      <w:pPr>
        <w:pStyle w:val="11"/>
        <w:rPr>
          <w:rFonts w:hint="eastAsia"/>
          <w:lang w:val="en-US" w:eastAsia="zh-CN"/>
        </w:rPr>
      </w:pPr>
    </w:p>
    <w:p w14:paraId="1707A432">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具有履行合同所必需的设备和专业技术能力的说明及承诺书</w:t>
      </w:r>
      <w:bookmarkEnd w:id="0"/>
      <w:bookmarkEnd w:id="1"/>
    </w:p>
    <w:p w14:paraId="6A4764B2">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0EACBEAD">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（项目编号）磋商活动，如我方获得成交资格，我方承诺如下：</w:t>
      </w:r>
    </w:p>
    <w:p w14:paraId="539E6995">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2F2215EB">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77DEB117">
      <w:pPr>
        <w:pStyle w:val="6"/>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44F464F4">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5DA9A31">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9CD6D83">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5DCCD5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0177288D">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5C43C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4938D46">
      <w:pPr>
        <w:rPr>
          <w:rFonts w:hint="eastAsia" w:hAnsi="宋体" w:cs="宋体"/>
          <w:b/>
          <w:bCs/>
          <w:sz w:val="40"/>
          <w:szCs w:val="40"/>
          <w:highlight w:val="none"/>
          <w:lang w:val="en-US" w:eastAsia="zh-CN"/>
        </w:rPr>
      </w:pPr>
      <w:r>
        <w:rPr>
          <w:rFonts w:hint="eastAsia" w:hAnsi="宋体" w:cs="宋体"/>
          <w:b/>
          <w:bCs/>
          <w:sz w:val="40"/>
          <w:szCs w:val="40"/>
          <w:highlight w:val="none"/>
          <w:lang w:val="en-US" w:eastAsia="zh-CN"/>
        </w:rPr>
        <w:br w:type="page"/>
      </w:r>
    </w:p>
    <w:p w14:paraId="2D73653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200AFC2">
      <w:pPr>
        <w:pStyle w:val="10"/>
        <w:keepNext w:val="0"/>
        <w:keepLines w:val="0"/>
        <w:pageBreakBefore w:val="0"/>
        <w:widowControl/>
        <w:kinsoku/>
        <w:wordWrap/>
        <w:overflowPunct/>
        <w:topLinePunct w:val="0"/>
        <w:autoSpaceDE/>
        <w:autoSpaceDN/>
        <w:bidi w:val="0"/>
        <w:adjustRightInd/>
        <w:snapToGrid/>
        <w:spacing w:afterLines="0"/>
        <w:ind w:firstLine="602" w:firstLineChars="200"/>
        <w:jc w:val="center"/>
        <w:textAlignment w:val="auto"/>
        <w:outlineLvl w:val="9"/>
        <w:rPr>
          <w:rFonts w:hint="eastAsia" w:ascii="Calibri" w:hAnsi="Calibri" w:eastAsia="宋体" w:cs="华文仿宋"/>
          <w:b/>
          <w:bCs/>
          <w:color w:val="auto"/>
          <w:kern w:val="0"/>
          <w:sz w:val="30"/>
          <w:szCs w:val="30"/>
          <w:highlight w:val="none"/>
          <w:u w:val="none"/>
          <w:lang w:val="en-US" w:eastAsia="zh-CN" w:bidi="ar-SA"/>
        </w:rPr>
      </w:pPr>
      <w:r>
        <w:rPr>
          <w:rFonts w:hint="eastAsia" w:ascii="Calibri" w:hAnsi="Calibri" w:eastAsia="宋体" w:cs="华文仿宋"/>
          <w:b/>
          <w:bCs/>
          <w:color w:val="auto"/>
          <w:kern w:val="0"/>
          <w:sz w:val="30"/>
          <w:szCs w:val="30"/>
          <w:highlight w:val="none"/>
          <w:u w:val="none"/>
          <w:lang w:val="en-US" w:eastAsia="zh-CN" w:bidi="ar-SA"/>
        </w:rPr>
        <w:t>非联合体不分包</w:t>
      </w:r>
      <w:r>
        <w:rPr>
          <w:rFonts w:hint="eastAsia" w:cs="华文仿宋"/>
          <w:b/>
          <w:bCs/>
          <w:color w:val="auto"/>
          <w:kern w:val="0"/>
          <w:sz w:val="30"/>
          <w:szCs w:val="30"/>
          <w:highlight w:val="none"/>
          <w:u w:val="none"/>
          <w:lang w:val="en-US" w:eastAsia="zh-CN" w:bidi="ar-SA"/>
        </w:rPr>
        <w:t>磋商</w:t>
      </w:r>
      <w:r>
        <w:rPr>
          <w:rFonts w:hint="eastAsia" w:ascii="Calibri" w:hAnsi="Calibri" w:eastAsia="宋体" w:cs="华文仿宋"/>
          <w:b/>
          <w:bCs/>
          <w:color w:val="auto"/>
          <w:kern w:val="0"/>
          <w:sz w:val="30"/>
          <w:szCs w:val="30"/>
          <w:highlight w:val="none"/>
          <w:u w:val="none"/>
          <w:lang w:val="en-US" w:eastAsia="zh-CN" w:bidi="ar-SA"/>
        </w:rPr>
        <w:t>声明</w:t>
      </w:r>
    </w:p>
    <w:p w14:paraId="32AE6EF3">
      <w:pPr>
        <w:spacing w:line="360" w:lineRule="auto"/>
        <w:ind w:firstLine="480" w:firstLineChars="200"/>
        <w:outlineLvl w:val="9"/>
        <w:rPr>
          <w:rFonts w:hint="eastAsia" w:ascii="宋体" w:hAnsi="宋体" w:eastAsia="宋体" w:cs="宋体"/>
          <w:color w:val="auto"/>
          <w:sz w:val="24"/>
          <w:szCs w:val="24"/>
          <w:highlight w:val="none"/>
        </w:rPr>
      </w:pPr>
    </w:p>
    <w:p w14:paraId="59260726">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3975169">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正大鹏安建设项目管理有限公司</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）采购活动，为非联合体</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rPr>
        <w:t>，本项目实施过程由本单位独立承担。</w:t>
      </w:r>
    </w:p>
    <w:p w14:paraId="4DE03DF5">
      <w:pPr>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2F0EEE20">
      <w:pPr>
        <w:spacing w:line="360" w:lineRule="auto"/>
        <w:ind w:firstLine="480" w:firstLineChars="200"/>
        <w:jc w:val="left"/>
        <w:outlineLvl w:val="9"/>
        <w:rPr>
          <w:rFonts w:hint="eastAsia" w:ascii="宋体" w:hAnsi="宋体" w:eastAsia="宋体" w:cs="宋体"/>
          <w:color w:val="auto"/>
          <w:sz w:val="24"/>
          <w:szCs w:val="24"/>
          <w:highlight w:val="none"/>
        </w:rPr>
      </w:pPr>
    </w:p>
    <w:p w14:paraId="6757A045">
      <w:pPr>
        <w:pStyle w:val="4"/>
        <w:spacing w:line="360" w:lineRule="auto"/>
        <w:outlineLvl w:val="9"/>
        <w:rPr>
          <w:rFonts w:hint="eastAsia" w:ascii="宋体" w:hAnsi="宋体" w:eastAsia="宋体" w:cs="宋体"/>
          <w:color w:val="auto"/>
          <w:sz w:val="24"/>
          <w:szCs w:val="24"/>
          <w:highlight w:val="none"/>
        </w:rPr>
      </w:pPr>
    </w:p>
    <w:p w14:paraId="4FFE9277">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olor w:val="auto"/>
          <w:sz w:val="24"/>
        </w:rPr>
        <w:t xml:space="preserve">                         </w:t>
      </w: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9BC9E5C">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565CFC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58D22BA5">
      <w:pPr>
        <w:pStyle w:val="6"/>
        <w:rPr>
          <w:rFonts w:hint="eastAsia" w:ascii="宋体" w:hAnsi="宋体" w:cs="宋体"/>
          <w:sz w:val="24"/>
          <w:highlight w:val="none"/>
        </w:rPr>
      </w:pPr>
    </w:p>
    <w:p w14:paraId="3B2B02F2">
      <w:pPr>
        <w:rPr>
          <w:rFonts w:hint="eastAsia"/>
        </w:rPr>
      </w:pPr>
      <w:r>
        <w:rPr>
          <w:rFonts w:hint="eastAsia"/>
        </w:rPr>
        <w:br w:type="page"/>
      </w:r>
    </w:p>
    <w:p w14:paraId="474D3E0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格式7：</w:t>
      </w:r>
    </w:p>
    <w:p w14:paraId="4AFF9427">
      <w:pPr>
        <w:pStyle w:val="10"/>
        <w:keepNext w:val="0"/>
        <w:keepLines w:val="0"/>
        <w:pageBreakBefore w:val="0"/>
        <w:widowControl/>
        <w:kinsoku/>
        <w:wordWrap/>
        <w:overflowPunct/>
        <w:topLinePunct w:val="0"/>
        <w:autoSpaceDE/>
        <w:autoSpaceDN/>
        <w:bidi w:val="0"/>
        <w:adjustRightInd/>
        <w:snapToGrid/>
        <w:spacing w:afterLines="0"/>
        <w:ind w:firstLine="562" w:firstLineChars="200"/>
        <w:jc w:val="center"/>
        <w:textAlignment w:val="auto"/>
        <w:outlineLvl w:val="9"/>
        <w:rPr>
          <w:rFonts w:hint="eastAsia" w:ascii="Calibri" w:hAnsi="Calibri" w:eastAsia="宋体" w:cs="华文仿宋"/>
          <w:b/>
          <w:bCs/>
          <w:color w:val="auto"/>
          <w:kern w:val="0"/>
          <w:sz w:val="28"/>
          <w:szCs w:val="28"/>
          <w:highlight w:val="none"/>
          <w:u w:val="none"/>
          <w:lang w:val="hr-HR" w:eastAsia="zh-CN" w:bidi="ar-SA"/>
        </w:rPr>
      </w:pPr>
      <w:r>
        <w:rPr>
          <w:rFonts w:hint="eastAsia" w:ascii="Calibri" w:hAnsi="Calibri" w:eastAsia="宋体" w:cs="华文仿宋"/>
          <w:b/>
          <w:bCs/>
          <w:color w:val="auto"/>
          <w:kern w:val="0"/>
          <w:sz w:val="28"/>
          <w:szCs w:val="28"/>
          <w:highlight w:val="none"/>
          <w:u w:val="none"/>
          <w:lang w:val="en-US" w:eastAsia="zh-CN" w:bidi="ar-SA"/>
        </w:rPr>
        <w:t>书面声明</w:t>
      </w:r>
    </w:p>
    <w:p w14:paraId="2C188C29">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hint="eastAsia" w:ascii="宋体" w:hAnsi="宋体" w:eastAsia="宋体" w:cs="宋体"/>
          <w:sz w:val="24"/>
          <w:highlight w:val="none"/>
          <w:lang w:eastAsia="zh-CN"/>
        </w:rPr>
      </w:pPr>
      <w:r>
        <w:rPr>
          <w:rFonts w:hint="eastAsia" w:ascii="宋体" w:hAnsi="宋体" w:cs="宋体"/>
          <w:sz w:val="24"/>
          <w:highlight w:val="none"/>
          <w:u w:val="single"/>
        </w:rPr>
        <w:t xml:space="preserve">                       </w:t>
      </w:r>
      <w:r>
        <w:rPr>
          <w:rFonts w:hint="eastAsia" w:ascii="宋体" w:hAnsi="宋体" w:cs="宋体"/>
          <w:sz w:val="24"/>
          <w:highlight w:val="none"/>
        </w:rPr>
        <w:t>(采购人名称)</w:t>
      </w:r>
      <w:r>
        <w:rPr>
          <w:rFonts w:hint="eastAsia" w:ascii="宋体" w:hAnsi="宋体" w:cs="宋体"/>
          <w:sz w:val="24"/>
          <w:highlight w:val="none"/>
          <w:lang w:eastAsia="zh-CN"/>
        </w:rPr>
        <w:t>：</w:t>
      </w:r>
    </w:p>
    <w:p w14:paraId="64EF17CC">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我单位具有履行合同所必需的设备和专业技术能力，未为本项目提供整体设计、规范编制或者项目管理、监理、检测等服务。</w:t>
      </w:r>
    </w:p>
    <w:p w14:paraId="183BCA63">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p>
    <w:p w14:paraId="551BFD9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4"/>
          <w:szCs w:val="24"/>
          <w:highlight w:val="none"/>
          <w:lang w:val="hr-HR" w:eastAsia="zh-CN" w:bidi="ar-SA"/>
        </w:rPr>
      </w:pPr>
      <w:r>
        <w:rPr>
          <w:rFonts w:hint="eastAsia" w:ascii="宋体" w:hAnsi="宋体" w:eastAsia="宋体" w:cs="Helvetica"/>
          <w:color w:val="000000"/>
          <w:kern w:val="0"/>
          <w:sz w:val="24"/>
          <w:szCs w:val="24"/>
          <w:highlight w:val="none"/>
          <w:lang w:val="hr-HR" w:eastAsia="zh-CN" w:bidi="ar-SA"/>
        </w:rPr>
        <w:t>特此声明！</w:t>
      </w:r>
    </w:p>
    <w:p w14:paraId="447DD1E2">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1BE5A788">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p>
    <w:p w14:paraId="5F3F8FC4">
      <w:pPr>
        <w:pStyle w:val="6"/>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eastAsia="宋体" w:cs="Helvetica"/>
          <w:color w:val="000000"/>
          <w:kern w:val="0"/>
          <w:sz w:val="21"/>
          <w:szCs w:val="21"/>
          <w:highlight w:val="none"/>
          <w:lang w:val="hr-HR" w:eastAsia="zh-CN" w:bidi="ar-SA"/>
        </w:rPr>
        <w:t xml:space="preserve">                            </w:t>
      </w: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AC6680F">
      <w:pPr>
        <w:pStyle w:val="6"/>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4CE5BF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42A41CFA">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textAlignment w:val="auto"/>
        <w:rPr>
          <w:rFonts w:hint="eastAsia" w:ascii="宋体" w:hAnsi="宋体" w:eastAsia="宋体" w:cs="Helvetica"/>
          <w:color w:val="000000"/>
          <w:kern w:val="0"/>
          <w:sz w:val="21"/>
          <w:szCs w:val="21"/>
          <w:highlight w:val="none"/>
          <w:lang w:val="hr-HR" w:eastAsia="zh-CN" w:bidi="ar-SA"/>
        </w:rPr>
      </w:pPr>
      <w:r>
        <w:rPr>
          <w:rFonts w:hint="eastAsia" w:ascii="宋体" w:hAnsi="宋体" w:eastAsia="宋体" w:cs="Helvetica"/>
          <w:color w:val="000000"/>
          <w:kern w:val="0"/>
          <w:sz w:val="21"/>
          <w:szCs w:val="21"/>
          <w:highlight w:val="none"/>
          <w:lang w:val="hr-HR" w:eastAsia="zh-CN" w:bidi="ar-SA"/>
        </w:rPr>
        <w:t xml:space="preserve"> </w:t>
      </w:r>
    </w:p>
    <w:p w14:paraId="64BEAB24">
      <w:pPr>
        <w:pStyle w:val="6"/>
        <w:ind w:left="0" w:leftChars="0" w:firstLine="0" w:firstLineChars="0"/>
        <w:rPr>
          <w:rFonts w:hint="eastAsia"/>
        </w:rPr>
      </w:pPr>
    </w:p>
    <w:p w14:paraId="736AFDD5">
      <w:pPr>
        <w:pStyle w:val="6"/>
        <w:rPr>
          <w:rFonts w:hint="eastAsia" w:ascii="宋体" w:hAnsi="宋体" w:cs="宋体"/>
          <w:sz w:val="24"/>
          <w:highlight w:val="none"/>
        </w:rPr>
      </w:pPr>
    </w:p>
    <w:p w14:paraId="78069B8F">
      <w:pPr>
        <w:rPr>
          <w:rFonts w:hint="eastAsia"/>
          <w:lang w:val="en-US" w:eastAsia="zh-CN"/>
        </w:rPr>
      </w:pPr>
    </w:p>
    <w:p w14:paraId="14F55240">
      <w:pPr>
        <w:spacing w:line="480" w:lineRule="auto"/>
        <w:ind w:firstLine="480" w:firstLineChars="200"/>
        <w:jc w:val="left"/>
        <w:outlineLvl w:val="9"/>
        <w:rPr>
          <w:rFonts w:ascii="宋体" w:hAnsi="宋体"/>
          <w:color w:val="auto"/>
          <w:sz w:val="24"/>
        </w:rPr>
      </w:pPr>
      <w:r>
        <w:rPr>
          <w:rFonts w:ascii="宋体" w:hAnsi="宋体"/>
          <w:color w:val="auto"/>
          <w:sz w:val="24"/>
        </w:rPr>
        <w:t xml:space="preserve"> </w:t>
      </w:r>
    </w:p>
    <w:p w14:paraId="6FC28053">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53544D0F">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573DD6A4">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30DC19B0">
      <w:pPr>
        <w:ind w:left="0" w:leftChars="0" w:firstLine="0" w:firstLineChars="0"/>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7C316D"/>
    <w:multiLevelType w:val="singleLevel"/>
    <w:tmpl w:val="467C316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NzU1ODY4ZGI4MDUwMjJkMjdlNjc5ZjQ4NTEwMjkifQ=="/>
  </w:docVars>
  <w:rsids>
    <w:rsidRoot w:val="366978AF"/>
    <w:rsid w:val="01227D26"/>
    <w:rsid w:val="06473D8B"/>
    <w:rsid w:val="07344595"/>
    <w:rsid w:val="07A86C26"/>
    <w:rsid w:val="09824A8B"/>
    <w:rsid w:val="0BDB5B8F"/>
    <w:rsid w:val="0DF51FA4"/>
    <w:rsid w:val="10397D9C"/>
    <w:rsid w:val="104B1F94"/>
    <w:rsid w:val="119A56B6"/>
    <w:rsid w:val="15CA01B9"/>
    <w:rsid w:val="1A4516DF"/>
    <w:rsid w:val="1E1D00B6"/>
    <w:rsid w:val="210D7C03"/>
    <w:rsid w:val="212F35D3"/>
    <w:rsid w:val="21D0758E"/>
    <w:rsid w:val="22356D36"/>
    <w:rsid w:val="22AE6F25"/>
    <w:rsid w:val="294C32E2"/>
    <w:rsid w:val="2B065DE0"/>
    <w:rsid w:val="2B7E34FB"/>
    <w:rsid w:val="2D3C478E"/>
    <w:rsid w:val="335F762B"/>
    <w:rsid w:val="33DE547F"/>
    <w:rsid w:val="35532670"/>
    <w:rsid w:val="366978AF"/>
    <w:rsid w:val="36DD14DD"/>
    <w:rsid w:val="37305FF2"/>
    <w:rsid w:val="37F0752F"/>
    <w:rsid w:val="39036E15"/>
    <w:rsid w:val="39BF18AF"/>
    <w:rsid w:val="3B19165E"/>
    <w:rsid w:val="3BE654AC"/>
    <w:rsid w:val="3C1A24F9"/>
    <w:rsid w:val="3E970590"/>
    <w:rsid w:val="48EC0872"/>
    <w:rsid w:val="4A164F3A"/>
    <w:rsid w:val="4DC76F6F"/>
    <w:rsid w:val="5A5904AF"/>
    <w:rsid w:val="64FE25AD"/>
    <w:rsid w:val="68143F9C"/>
    <w:rsid w:val="681B6F2C"/>
    <w:rsid w:val="69B02E3D"/>
    <w:rsid w:val="69B27222"/>
    <w:rsid w:val="6DBD3434"/>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2"/>
    <w:basedOn w:val="1"/>
    <w:next w:val="4"/>
    <w:autoRedefine/>
    <w:qFormat/>
    <w:uiPriority w:val="99"/>
    <w:pPr>
      <w:keepNext/>
      <w:keepLines/>
      <w:spacing w:line="413" w:lineRule="auto"/>
      <w:jc w:val="center"/>
      <w:outlineLvl w:val="1"/>
    </w:pPr>
    <w:rPr>
      <w:rFonts w:ascii="Arial" w:hAnsi="Arial"/>
      <w:b/>
      <w:sz w:val="28"/>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BodyText"/>
    <w:basedOn w:val="1"/>
    <w:autoRedefine/>
    <w:qFormat/>
    <w:uiPriority w:val="0"/>
    <w:pPr>
      <w:jc w:val="both"/>
      <w:textAlignment w:val="baseline"/>
    </w:pPr>
    <w:rPr>
      <w:rFonts w:ascii="Calibri" w:hAnsi="Calibri" w:eastAsia="宋体"/>
      <w:kern w:val="2"/>
      <w:sz w:val="21"/>
      <w:szCs w:val="21"/>
      <w:lang w:val="en-US" w:eastAsia="zh-CN" w:bidi="ar-SA"/>
    </w:rPr>
  </w:style>
  <w:style w:type="paragraph" w:styleId="4">
    <w:name w:val="Normal Indent"/>
    <w:basedOn w:val="1"/>
    <w:next w:val="5"/>
    <w:autoRedefine/>
    <w:qFormat/>
    <w:uiPriority w:val="99"/>
    <w:pPr>
      <w:ind w:firstLine="420"/>
    </w:pPr>
    <w:rPr>
      <w:szCs w:val="20"/>
    </w:rPr>
  </w:style>
  <w:style w:type="paragraph" w:styleId="5">
    <w:name w:val="toc 4"/>
    <w:basedOn w:val="1"/>
    <w:next w:val="1"/>
    <w:semiHidden/>
    <w:qFormat/>
    <w:uiPriority w:val="0"/>
    <w:pPr>
      <w:ind w:left="630"/>
      <w:jc w:val="left"/>
    </w:pPr>
    <w:rPr>
      <w:rFonts w:ascii="Times New Roman" w:hAnsi="Times New Roman" w:cs="Times New Roman"/>
      <w:sz w:val="18"/>
      <w:szCs w:val="18"/>
    </w:rPr>
  </w:style>
  <w:style w:type="paragraph" w:styleId="6">
    <w:name w:val="Body Text"/>
    <w:basedOn w:val="1"/>
    <w:autoRedefine/>
    <w:qFormat/>
    <w:uiPriority w:val="0"/>
    <w:rPr>
      <w:sz w:val="28"/>
    </w:rPr>
  </w:style>
  <w:style w:type="paragraph" w:styleId="7">
    <w:name w:val="Body Text Indent"/>
    <w:basedOn w:val="1"/>
    <w:autoRedefine/>
    <w:qFormat/>
    <w:uiPriority w:val="0"/>
    <w:pPr>
      <w:spacing w:after="120"/>
      <w:ind w:left="420"/>
    </w:pPr>
    <w:rPr>
      <w:kern w:val="1"/>
    </w:rPr>
  </w:style>
  <w:style w:type="paragraph" w:styleId="8">
    <w:name w:val="toc 2"/>
    <w:basedOn w:val="1"/>
    <w:next w:val="1"/>
    <w:autoRedefine/>
    <w:qFormat/>
    <w:uiPriority w:val="39"/>
    <w:pPr>
      <w:ind w:left="420" w:leftChars="200"/>
    </w:pPr>
  </w:style>
  <w:style w:type="paragraph" w:styleId="9">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w:basedOn w:val="6"/>
    <w:next w:val="11"/>
    <w:autoRedefine/>
    <w:unhideWhenUsed/>
    <w:qFormat/>
    <w:uiPriority w:val="99"/>
    <w:pPr>
      <w:ind w:firstLine="420" w:firstLineChars="100"/>
    </w:pPr>
  </w:style>
  <w:style w:type="paragraph" w:styleId="11">
    <w:name w:val="Body Text First Indent 2"/>
    <w:basedOn w:val="7"/>
    <w:next w:val="1"/>
    <w:autoRedefine/>
    <w:qFormat/>
    <w:uiPriority w:val="0"/>
    <w:pPr>
      <w:ind w:firstLine="420" w:firstLineChars="200"/>
    </w:p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 w:type="paragraph" w:customStyle="1" w:styleId="16">
    <w:name w:val="List Paragraph"/>
    <w:basedOn w:val="1"/>
    <w:autoRedefine/>
    <w:unhideWhenUsed/>
    <w:qFormat/>
    <w:uiPriority w:val="99"/>
    <w:pPr>
      <w:ind w:firstLine="420" w:firstLineChars="200"/>
    </w:pPr>
  </w:style>
  <w:style w:type="paragraph" w:customStyle="1" w:styleId="17">
    <w:name w:val="Body text|1"/>
    <w:basedOn w:val="1"/>
    <w:autoRedefine/>
    <w:qFormat/>
    <w:uiPriority w:val="0"/>
    <w:pPr>
      <w:widowControl w:val="0"/>
      <w:shd w:val="clear" w:color="auto" w:fill="auto"/>
      <w:spacing w:line="401" w:lineRule="auto"/>
      <w:ind w:firstLine="400"/>
    </w:pPr>
    <w:rPr>
      <w:rFonts w:ascii="宋体" w:hAnsi="宋体" w:eastAsia="宋体" w:cs="宋体"/>
      <w:sz w:val="28"/>
      <w:szCs w:val="28"/>
      <w:u w:val="none"/>
      <w:shd w:val="clear" w:color="auto" w:fill="auto"/>
      <w:lang w:val="zh-TW" w:eastAsia="zh-TW" w:bidi="zh-TW"/>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2226</Words>
  <Characters>2233</Characters>
  <Lines>0</Lines>
  <Paragraphs>0</Paragraphs>
  <TotalTime>0</TotalTime>
  <ScaleCrop>false</ScaleCrop>
  <LinksUpToDate>false</LinksUpToDate>
  <CharactersWithSpaces>3627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春暖花开</cp:lastModifiedBy>
  <dcterms:modified xsi:type="dcterms:W3CDTF">2025-04-09T10:53:40Z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440A8BA5E5CF4120A77FEA7E6BA6D232</vt:lpwstr>
  </property>
  <property fmtid="{D5CDD505-2E9C-101B-9397-08002B2CF9AE}" pid="4" name="KSOTemplateDocerSaveRecord">
    <vt:lpwstr>eyJoZGlkIjoiMzFjNzU1ODY4ZGI4MDUwMjJkMjdlNjc5ZjQ4NTEwMjkiLCJ1c2VySWQiOiI1MjYwNTY5NzEifQ==</vt:lpwstr>
  </property>
</Properties>
</file>