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版本号：ZHZB-2025-3920250417001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2025年基础设施维护维修项目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ZHZB-2025-39</w:t>
      </w:r>
      <w:r>
        <w:br/>
      </w:r>
      <w:r>
        <w:br/>
      </w:r>
      <w:r>
        <w:br/>
      </w:r>
    </w:p>
    <w:p>
      <w:pPr>
        <w:pStyle w:val="null3"/>
        <w:jc w:val="center"/>
        <w:outlineLvl w:val="2"/>
      </w:pPr>
      <w:r>
        <w:rPr>
          <w:rFonts w:ascii="仿宋_GB2312" w:hAnsi="仿宋_GB2312" w:cs="仿宋_GB2312" w:eastAsia="仿宋_GB2312"/>
          <w:sz w:val="28"/>
          <w:b/>
        </w:rPr>
        <w:t>西安半坡博物馆</w:t>
      </w:r>
    </w:p>
    <w:p>
      <w:pPr>
        <w:pStyle w:val="null3"/>
        <w:jc w:val="center"/>
        <w:outlineLvl w:val="2"/>
      </w:pPr>
      <w:r>
        <w:rPr>
          <w:rFonts w:ascii="仿宋_GB2312" w:hAnsi="仿宋_GB2312" w:cs="仿宋_GB2312" w:eastAsia="仿宋_GB2312"/>
          <w:sz w:val="28"/>
          <w:b/>
        </w:rPr>
        <w:t>众合国际项目管理有限公司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众合国际项目管理有限公司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西安半坡博物馆</w:t>
      </w:r>
      <w:r>
        <w:rPr>
          <w:rFonts w:ascii="仿宋_GB2312" w:hAnsi="仿宋_GB2312" w:cs="仿宋_GB2312" w:eastAsia="仿宋_GB2312"/>
        </w:rPr>
        <w:t>委托，拟对</w:t>
      </w:r>
      <w:r>
        <w:rPr>
          <w:rFonts w:ascii="仿宋_GB2312" w:hAnsi="仿宋_GB2312" w:cs="仿宋_GB2312" w:eastAsia="仿宋_GB2312"/>
        </w:rPr>
        <w:t>2025年基础设施维护维修项目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ZHZB-2025-39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2025年基础设施维护维修项目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西安半坡博物馆2025年基础设施维修维护工程，包括宣教用房、库房的屋面防水，室内维修；北院环境整治；雨污水管网清理维护；馆舍、道路等基础设施的日常维修维护；室外研学场地整修等，具体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采购包1（西安半坡博物馆2025年基础设施维修维护工程）：属于专门面向中小企业采购。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1、供应商主体：供应商为具有独立承担民事责任能力的法人、其他组织或自然人（提供有效的法人或者其他组织的营业执照、事业单位法人证等证明文件或自然人的身份证明）。</w:t>
      </w:r>
    </w:p>
    <w:p>
      <w:pPr>
        <w:pStyle w:val="null3"/>
      </w:pPr>
      <w:r>
        <w:rPr>
          <w:rFonts w:ascii="仿宋_GB2312" w:hAnsi="仿宋_GB2312" w:cs="仿宋_GB2312" w:eastAsia="仿宋_GB2312"/>
        </w:rPr>
        <w:t>2、财务状况报告：提供2023年度或2024年度经审计的财务会计报告（成立时间至提交响应文件截止时间不足一年的可提供成立后任意时段的资产负债表）； 或其递交响应文件截止之日前三个月内基本开户银行出具的资信证明（附《基本存款账户信息》或《银行开户许可证》复印件）； 或政府采购信用担保机构出具的担保函；（以上三种形式的资料提供任何一种即可）。</w:t>
      </w:r>
    </w:p>
    <w:p>
      <w:pPr>
        <w:pStyle w:val="null3"/>
      </w:pPr>
      <w:r>
        <w:rPr>
          <w:rFonts w:ascii="仿宋_GB2312" w:hAnsi="仿宋_GB2312" w:cs="仿宋_GB2312" w:eastAsia="仿宋_GB2312"/>
        </w:rPr>
        <w:t>3、税收缴纳证明：提供磋商截止时间前半年内任意一个月的纳税证明或完税证明，依法免税的单位应提供相关证明材料。</w:t>
      </w:r>
    </w:p>
    <w:p>
      <w:pPr>
        <w:pStyle w:val="null3"/>
      </w:pPr>
      <w:r>
        <w:rPr>
          <w:rFonts w:ascii="仿宋_GB2312" w:hAnsi="仿宋_GB2312" w:cs="仿宋_GB2312" w:eastAsia="仿宋_GB2312"/>
        </w:rPr>
        <w:t>4、社会保障资金缴纳证明：提供磋商截止时间前半年内任意一个月的社会保障资金缴存单据或社保机构开具的社会保险参保缴费情况证明，依法不需要缴纳社会保障资金的单位应提供相关证明材料。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5、书面声明：提供参加本次政府采购活动前三年内在经营活动中没有重大违法记录的书面声明。</w:t>
      </w:r>
    </w:p>
    <w:p>
      <w:pPr>
        <w:pStyle w:val="null3"/>
      </w:pPr>
      <w:r>
        <w:rPr>
          <w:rFonts w:ascii="仿宋_GB2312" w:hAnsi="仿宋_GB2312" w:cs="仿宋_GB2312" w:eastAsia="仿宋_GB2312"/>
        </w:rPr>
        <w:t>6、承诺函：提供具有履行合同所必须的设备和专业技术能力的承诺函。</w:t>
      </w:r>
    </w:p>
    <w:p>
      <w:pPr>
        <w:pStyle w:val="null3"/>
      </w:pPr>
      <w:r>
        <w:rPr>
          <w:rFonts w:ascii="仿宋_GB2312" w:hAnsi="仿宋_GB2312" w:cs="仿宋_GB2312" w:eastAsia="仿宋_GB2312"/>
        </w:rPr>
        <w:t>7、法定代表人授权委托书（或法定代表人证明书）：法定代表人授权委托书（附法定代表人身份证复印件及被授权人身份证复印件）；法定代表人直接参加磋商只须提供法定代表人身份证明书（附法定代表人身份证复印件）。</w:t>
      </w:r>
    </w:p>
    <w:p>
      <w:pPr>
        <w:pStyle w:val="null3"/>
      </w:pPr>
      <w:r>
        <w:rPr>
          <w:rFonts w:ascii="仿宋_GB2312" w:hAnsi="仿宋_GB2312" w:cs="仿宋_GB2312" w:eastAsia="仿宋_GB2312"/>
        </w:rPr>
        <w:t>8、企业资质要求：具备建设行政主管部门颁发的建筑工程施工总承包三级及以上资质或建筑装修装饰工程专业承包二级及以上资质，具有有效的安全生产许可证。</w:t>
      </w:r>
    </w:p>
    <w:p>
      <w:pPr>
        <w:pStyle w:val="null3"/>
      </w:pPr>
      <w:r>
        <w:rPr>
          <w:rFonts w:ascii="仿宋_GB2312" w:hAnsi="仿宋_GB2312" w:cs="仿宋_GB2312" w:eastAsia="仿宋_GB2312"/>
        </w:rPr>
        <w:t>9、拟派项目经理资质要求：拟派项目经理须具有建筑工程专业二级及以上注册建造师证书和有效的安全生产考核证书（B证）,在本单位注册且无在建工程（提供无在建工程承诺书）。</w:t>
      </w:r>
    </w:p>
    <w:p>
      <w:pPr>
        <w:pStyle w:val="null3"/>
      </w:pPr>
      <w:r>
        <w:rPr>
          <w:rFonts w:ascii="仿宋_GB2312" w:hAnsi="仿宋_GB2312" w:cs="仿宋_GB2312" w:eastAsia="仿宋_GB2312"/>
        </w:rPr>
        <w:t>10、信用查询：供应商未被列入“信用中国”网站记录的“失信被执行人”和“重大税收违法失信主体”名单；不处于“中国政府采购网”记录的“政府采购严重违法失信行为记录名单”中的禁止参加政府采购活动期间。（以采购人或采购代理机构开标当天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西安半坡博物馆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西安市东郊半坡路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西安半坡博物馆经办杨磊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029-83618283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众合国际项目管理有限公司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陕西省西安市莲湖区丰登南路3号PM中心三楼306室（丰庆公园北门往西200米）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张盼、王晶、王臻、王阿磊、成婷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15502905959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采购包1：630,414.36元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代理服务费金额：参照国家发展计划委员会计价格【2002】1980号文件及国家发展和改革委员会办公厅颁发的《关于招标代理服务收费有关问题的通知》（发改价格【2011】534号）的规定标准，不足捌仟元按捌仟元计。2、代理服务费缴纳账户信息： 银行户名：众合国际项目管理有限公司 开户银行：西安银行股份有限公司高新四路支行 账 号：611011580000 085834</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西安半坡博物馆</w:t>
      </w:r>
      <w:r>
        <w:rPr>
          <w:rFonts w:ascii="仿宋_GB2312" w:hAnsi="仿宋_GB2312" w:cs="仿宋_GB2312" w:eastAsia="仿宋_GB2312"/>
        </w:rPr>
        <w:t>和</w:t>
      </w:r>
      <w:r>
        <w:rPr>
          <w:rFonts w:ascii="仿宋_GB2312" w:hAnsi="仿宋_GB2312" w:cs="仿宋_GB2312" w:eastAsia="仿宋_GB2312"/>
        </w:rPr>
        <w:t>众合国际项目管理有限公司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西安半坡博物馆</w:t>
      </w:r>
      <w:r>
        <w:rPr>
          <w:rFonts w:ascii="仿宋_GB2312" w:hAnsi="仿宋_GB2312" w:cs="仿宋_GB2312" w:eastAsia="仿宋_GB2312"/>
        </w:rPr>
        <w:t>负责解释。除上述磋商文件内容，其他内容由</w:t>
      </w:r>
      <w:r>
        <w:rPr>
          <w:rFonts w:ascii="仿宋_GB2312" w:hAnsi="仿宋_GB2312" w:cs="仿宋_GB2312" w:eastAsia="仿宋_GB2312"/>
        </w:rPr>
        <w:t>众合国际项目管理有限公司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西安半坡博物馆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众合国际项目管理有限公司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联系人：张盼 王晶 王臻 王阿磊 成婷</w:t>
      </w:r>
    </w:p>
    <w:p>
      <w:pPr>
        <w:pStyle w:val="null3"/>
      </w:pPr>
      <w:r>
        <w:rPr>
          <w:rFonts w:ascii="仿宋_GB2312" w:hAnsi="仿宋_GB2312" w:cs="仿宋_GB2312" w:eastAsia="仿宋_GB2312"/>
        </w:rPr>
        <w:t>联系电话：15502905959</w:t>
      </w:r>
    </w:p>
    <w:p>
      <w:pPr>
        <w:pStyle w:val="null3"/>
      </w:pPr>
      <w:r>
        <w:rPr>
          <w:rFonts w:ascii="仿宋_GB2312" w:hAnsi="仿宋_GB2312" w:cs="仿宋_GB2312" w:eastAsia="仿宋_GB2312"/>
        </w:rPr>
        <w:t>地址：陕西省西安市莲湖区丰登南路3号PM中心三楼306室（丰庆公园北门往西200米）</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630,414.36</w:t>
      </w:r>
    </w:p>
    <w:p>
      <w:pPr>
        <w:pStyle w:val="null3"/>
      </w:pPr>
      <w:r>
        <w:rPr>
          <w:rFonts w:ascii="仿宋_GB2312" w:hAnsi="仿宋_GB2312" w:cs="仿宋_GB2312" w:eastAsia="仿宋_GB2312"/>
        </w:rPr>
        <w:t>采购包最高限价（元）: 630,414.36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西安半坡博物馆2025年基础设施维护维修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630,414.36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标的名称：西安半坡博物馆2025年基础设施维护维修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技术参数</w:t>
            </w:r>
          </w:p>
        </w:tc>
        <w:tc>
          <w:tcPr>
            <w:tcW w:type="dxa" w:w="2076"/>
          </w:tcPr>
          <w:p>
            <w:pPr>
              <w:pStyle w:val="null3"/>
            </w:pPr>
            <w:r>
              <w:rPr>
                <w:rFonts w:ascii="仿宋_GB2312" w:hAnsi="仿宋_GB2312" w:cs="仿宋_GB2312" w:eastAsia="仿宋_GB2312"/>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详见本项目工程量清单。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一、工程概况 1、项目名称：2025年基础设施维修维护工程 2、预算金额：630414.36元 3、招标最高限价：630414.36元 4、工程地点：西安半坡博物馆 5、工程内容：本项目为西安半坡博物馆2025年基础设施维修维护工程，包括宣教用房、库房的屋面防水，室内维修；北院环境整治；雨污水管网清理维护；馆舍、道路等基础设施的日常维修维护；室外研学场地整修等，具体内容详见工程量清单。 二、编制依据：1.《陕西省建设工程工程量清单计价规则》（2009）、《陕西省建设工程工程量清单计价费率》（2009）及其配套文件中工程量计算办法；2.陕西省住房和城乡建设厅文件：《陕西省住房和城乡建设厅关于印发2009陕西省建设工程工程量清单计价依据的通知》（陕建发[2009]199号）；3.陕西省住房和城乡建设厅文件：《关于调整我省建设工程计价依据的通知》（陕建发〔2019〕45号文件）；4.《陕西省建筑、安装、市政、园林、绿化工程消耗量定额》（2004）、《陕西省建设工程消耗量定额（2004）补充定额）》及其他相关文件；5.《陕西省建筑装饰园林绿化工程价目表》（2009）、《陕西省建设工程消耗量定额勘误及补充定额》（2009）、《陕西省建设工程工程量清单计价费率》（2009）、《陕西省建设工程施工机械台班价目表》（2009）及其他相关文件；6.《关于调整房屋建筑和市政基础设施工程工程量清单计价综合人工单价的通知》（陕建发[2021]1097号）；7.《关于建筑施工安全生产责任保险费用计价的通知》（陕建发【2020】1097号）；8.《陕西省住房和城乡建设厅关于全省统一停止收缴建筑业劳保费用的通知》（陕建发【2021】1021号）；9.编制软件采用广联达云计价平台GCCP6.0,版本:6.4100.23.122。 三、工期要求：70日历天 四、工程质量要求：按国家有关验收规范和验评标准，工程质量达到合格标准。 五、付款方式：合同签订后15个工作日支付40%，工程竣工验收合格后支付60%。 六、其他说明事宜：1、本项目采购标的所属行业为：建筑业 。（按照《工信部、国家统计局、发改委、财政部、工信部联企业》 中小企业划型标准（〔2011〕300号） 规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七、工程量清单：另附电子版。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供应商主体</w:t>
            </w:r>
          </w:p>
        </w:tc>
        <w:tc>
          <w:tcPr>
            <w:tcW w:type="dxa" w:w="3322"/>
          </w:tcPr>
          <w:p>
            <w:pPr>
              <w:pStyle w:val="null3"/>
            </w:pPr>
            <w:r>
              <w:rPr>
                <w:rFonts w:ascii="仿宋_GB2312" w:hAnsi="仿宋_GB2312" w:cs="仿宋_GB2312" w:eastAsia="仿宋_GB2312"/>
              </w:rPr>
              <w:t>供应商为具有独立承担民事责任能力的法人、其他组织或自然人（提供有效的法人或者其他组织的营业执照、事业单位法人证等证明文件或自然人的身份证明）。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提供2023年度或2024年度经审计的财务会计报告（成立时间至提交响应文件截止时间不足一年的可提供成立后任意时段的资产负债表）； 或其递交响应文件截止之日前三个月内基本开户银行出具的资信证明（附《基本存款账户信息》或《银行开户许可证》复印件）； 或政府采购信用担保机构出具的担保函；（以上三种形式的资料提供任何一种即可）。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提供磋商截止时间前半年内任意一个月的纳税证明或完税证明，依法免税的单位应提供相关证明材料。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提供磋商截止时间前半年内任意一个月的社会保障资金缴存单据或社保机构开具的社会保险参保缴费情况证明，依法不需要缴纳社会保障资金的单位应提供相关证明材料。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提供具有履行合同所必须的设备和专业技术能力的承诺函。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法定代表人授权委托书（或法定代表人证明书）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法定代表人授权委托书（附法定代表人身份证复印件及被授权人身份证复印件）；法定代表人直接参加磋商只须提供法定代表人身份证明书（附法定代表人身份证复印件）。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具备建设行政主管部门颁发的建筑工程施工总承包三级及以上资质或建筑装修装饰工程专业承包二级及以上资质，具有有效的安全生产许可证。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拟派项目经理须具有建筑工程专业二级及以上注册建造师证书和有效的安全生产考核证书（B证）,在本单位注册且无在建工程（提供无在建工程承诺书）。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信用中国”网站记录的“失信被执行人”和“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注：工程量清单不属于磋商过程中可以实质性变动的内容。</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磋商响应文件中项目名称、项目编号与本项目一致，无遗漏</w:t>
            </w:r>
          </w:p>
        </w:tc>
        <w:tc>
          <w:tcPr>
            <w:tcW w:type="dxa" w:w="3322"/>
          </w:tcPr>
          <w:p>
            <w:pPr>
              <w:pStyle w:val="null3"/>
            </w:pPr>
            <w:r>
              <w:rPr>
                <w:rFonts w:ascii="仿宋_GB2312" w:hAnsi="仿宋_GB2312" w:cs="仿宋_GB2312" w:eastAsia="仿宋_GB2312"/>
              </w:rPr>
              <w:t>磋商响应文件中项目名称、项目编号与本项目一致，无遗漏</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技术部分方案.docx 供应商承诺书.docx 强制优先采购产品承诺函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磋商响应文件签署、盖章及磋商有效期符合磋商文件要求</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技术部分方案.docx 供应商承诺书.docx 强制优先采购产品承诺函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w:t>
            </w:r>
          </w:p>
        </w:tc>
        <w:tc>
          <w:tcPr>
            <w:tcW w:type="dxa" w:w="1661"/>
          </w:tcPr>
          <w:p>
            <w:pPr>
              <w:pStyle w:val="null3"/>
            </w:pPr>
            <w:r>
              <w:rPr>
                <w:rFonts w:ascii="仿宋_GB2312" w:hAnsi="仿宋_GB2312" w:cs="仿宋_GB2312" w:eastAsia="仿宋_GB2312"/>
              </w:rPr>
              <w:t>已标价工程量清单 报价函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磋商报价未超出采购最高限价</w:t>
            </w:r>
          </w:p>
        </w:tc>
        <w:tc>
          <w:tcPr>
            <w:tcW w:type="dxa" w:w="3322"/>
          </w:tcPr>
          <w:p>
            <w:pPr>
              <w:pStyle w:val="null3"/>
            </w:pPr>
            <w:r>
              <w:rPr>
                <w:rFonts w:ascii="仿宋_GB2312" w:hAnsi="仿宋_GB2312" w:cs="仿宋_GB2312" w:eastAsia="仿宋_GB2312"/>
              </w:rPr>
              <w:t>磋商报价未超出采购最高限价</w:t>
            </w:r>
          </w:p>
        </w:tc>
        <w:tc>
          <w:tcPr>
            <w:tcW w:type="dxa" w:w="1661"/>
          </w:tcPr>
          <w:p>
            <w:pPr>
              <w:pStyle w:val="null3"/>
            </w:pPr>
            <w:r>
              <w:rPr>
                <w:rFonts w:ascii="仿宋_GB2312" w:hAnsi="仿宋_GB2312" w:cs="仿宋_GB2312" w:eastAsia="仿宋_GB2312"/>
              </w:rPr>
              <w:t>已标价工程量清单 报价函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施工总体方案</w:t>
            </w:r>
          </w:p>
        </w:tc>
        <w:tc>
          <w:tcPr>
            <w:tcW w:type="dxa" w:w="2492"/>
          </w:tcPr>
          <w:p>
            <w:pPr>
              <w:pStyle w:val="null3"/>
            </w:pPr>
            <w:r>
              <w:rPr>
                <w:rFonts w:ascii="仿宋_GB2312" w:hAnsi="仿宋_GB2312" w:cs="仿宋_GB2312" w:eastAsia="仿宋_GB2312"/>
              </w:rPr>
              <w:t>施工总体方案内容至少包括：①施工准备；②施工进度安排;③施工方法；④重点难点工程分析及解决措施； ⑤影响正常施工外在因素分析及对应预案等。 以上内容专门针对本项目且阐述明晰、全面、合理 得15分，每缺一项内容扣 3分，若上述内容存在瑕疵， 每存在 1 处瑕疵扣 1 分，扣完为止。(瑕疵指内容不全面、逻辑混乱、不符合采购需求、实施性较差等）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工程质量的技术组织措施</w:t>
            </w:r>
          </w:p>
        </w:tc>
        <w:tc>
          <w:tcPr>
            <w:tcW w:type="dxa" w:w="2492"/>
          </w:tcPr>
          <w:p>
            <w:pPr>
              <w:pStyle w:val="null3"/>
            </w:pPr>
            <w:r>
              <w:rPr>
                <w:rFonts w:ascii="仿宋_GB2312" w:hAnsi="仿宋_GB2312" w:cs="仿宋_GB2312" w:eastAsia="仿宋_GB2312"/>
              </w:rPr>
              <w:t>工程质量的技术组织措施内容至少包括：①质量管理 工作流程；②工程质量保障方案；③工程质量控制体系； ④材料和构配件的质量控制等；⑤施工检测及工序交验方案等。 以上内容专门针对本项目且阐述明晰、全面、合理 得 10 分，每缺一项内容扣 2 分，若上述内容存在瑕疵，每存在 1 处瑕疵扣 1 分，扣完为止。(瑕疵指内容不全面、逻辑混乱、不符合采购需求、实施性较差等）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安全生产技术组织措施</w:t>
            </w:r>
          </w:p>
        </w:tc>
        <w:tc>
          <w:tcPr>
            <w:tcW w:type="dxa" w:w="2492"/>
          </w:tcPr>
          <w:p>
            <w:pPr>
              <w:pStyle w:val="null3"/>
            </w:pPr>
            <w:r>
              <w:rPr>
                <w:rFonts w:ascii="仿宋_GB2312" w:hAnsi="仿宋_GB2312" w:cs="仿宋_GB2312" w:eastAsia="仿宋_GB2312"/>
              </w:rPr>
              <w:t>安全生产技术组织措施内容至少包括： ①安全生产管 理制度；②配置安全组织机构；③安全隐患排查、整改制度；④应急救援机制等。 以上内容专门针对本项目且阐述明晰、全面、合理 得10分，每缺一项内容扣 2 .5分，若上述内容存在瑕疵，每出存在 1 处瑕疵扣 1 分，扣完为止。(瑕疵指内容不全面、逻辑混乱、不符合采购需求、实施性较差等）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文明施工及环境保护组织措施</w:t>
            </w:r>
          </w:p>
        </w:tc>
        <w:tc>
          <w:tcPr>
            <w:tcW w:type="dxa" w:w="2492"/>
          </w:tcPr>
          <w:p>
            <w:pPr>
              <w:pStyle w:val="null3"/>
            </w:pPr>
            <w:r>
              <w:rPr>
                <w:rFonts w:ascii="仿宋_GB2312" w:hAnsi="仿宋_GB2312" w:cs="仿宋_GB2312" w:eastAsia="仿宋_GB2312"/>
              </w:rPr>
              <w:t>文明施工及环境保护组织措施内容至少包括：①文明及环境保护管理制度； ②防尘降噪措施； ③节能减排措施； ④文明及环境保护施工监督检查机制等。 以上内容专门针对本项目且阐述明晰、全面、合理得 10分，每缺一项内容扣 2 .5分，若上述内容存在瑕疵，每存在 1 处瑕疵扣 1 分，扣完为止。(瑕疵指内容不全面、逻辑混乱、不符合采购需求、实施性较差等）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施工组织和项 目管理机构</w:t>
            </w:r>
          </w:p>
        </w:tc>
        <w:tc>
          <w:tcPr>
            <w:tcW w:type="dxa" w:w="2492"/>
          </w:tcPr>
          <w:p>
            <w:pPr>
              <w:pStyle w:val="null3"/>
            </w:pPr>
            <w:r>
              <w:rPr>
                <w:rFonts w:ascii="仿宋_GB2312" w:hAnsi="仿宋_GB2312" w:cs="仿宋_GB2312" w:eastAsia="仿宋_GB2312"/>
              </w:rPr>
              <w:t>施工组织和项目管理机构内容至少包括：①项目管理 机构图;②岗位安排及职责（配备施工员、安全员、资料 员、材料员、质量员）；③管理制度；④相应的协调措 施等。 以上内容专门针对本项目且阐述明晰、全面、合理 得 10 分，每缺一项内容扣 2 .5分，若上述内容存在瑕疵， 每存在 1 处瑕疵扣 1 分，扣完为止。(瑕疵指内容不全面、逻辑混乱、不符合采购需求、实施性较差等）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施工部署与进度计划</w:t>
            </w:r>
          </w:p>
        </w:tc>
        <w:tc>
          <w:tcPr>
            <w:tcW w:type="dxa" w:w="2492"/>
          </w:tcPr>
          <w:p>
            <w:pPr>
              <w:pStyle w:val="null3"/>
            </w:pPr>
            <w:r>
              <w:rPr>
                <w:rFonts w:ascii="仿宋_GB2312" w:hAnsi="仿宋_GB2312" w:cs="仿宋_GB2312" w:eastAsia="仿宋_GB2312"/>
              </w:rPr>
              <w:t>施工部署与进度计划内容至少包括： ①施工总平面布置； ②进度安排计划； ③工期目标控制和保证措施； ④ 材料供应措施； ⑤成品、半成品保护监管措施等。 以上内容专门针对本项目且阐述明晰、全面、合理 得 5分，每缺一项内容扣 1分，若上述内容存在瑕疵， 每存在 1 处瑕疵扣 0.5分，扣完为止。(瑕疵指内容不全面、逻辑混乱、不符合采购需求、实施性较差等）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施工机械配置和材料投入计划</w:t>
            </w:r>
          </w:p>
        </w:tc>
        <w:tc>
          <w:tcPr>
            <w:tcW w:type="dxa" w:w="2492"/>
          </w:tcPr>
          <w:p>
            <w:pPr>
              <w:pStyle w:val="null3"/>
            </w:pPr>
            <w:r>
              <w:rPr>
                <w:rFonts w:ascii="仿宋_GB2312" w:hAnsi="仿宋_GB2312" w:cs="仿宋_GB2312" w:eastAsia="仿宋_GB2312"/>
              </w:rPr>
              <w:t>施工机械配置和材料投入计划内容至少包括：①施工机械配置计划；②施工材料投入计划；③施工机械的维 护保养和材料的贮存；④施工机械、材料的监督和检查等。 以上内容专门针对本项目且阐述明晰、全面、合理 得 10分，每缺一项内容扣 2 .5分，若上述内容存在瑕疵，每存在 1 处瑕疵扣 1 分，扣完为止。(瑕疵指内容不全面、逻辑混乱、不符合采购需求、实施性较差等）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提供近三年（2022年1月1日至今） 类似项目业绩，每提供一个类似项目业绩计2分，满分10分（以施工合同为准，时间以合同签订时间为准 ，提供复印件加盖供应商公章） 。</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 的供应商的价格为磋商基准价，其价格分为满分。其他供应商的价格 分统一按照下列公式计算： 磋商报 价得分=（磋商基准价/最后磋商报 价）×价格权值×100 备注： 当磋 商小组认为某个供应商的报价明显 低于其他通过符合性审查供应商的 报价，有可能影响工程质量和不能 诚信履约的，应要求该供应商在评 标现场合理的时间内提供书面说明 ，必要时提交相关证明材料； 供应 商不能证明其报价合理的，磋商小组将其作为无效磋商处理。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详见附件：技术部分方案.docx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详见附件：合同条款及格式维修.docx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