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版本号：SXZCZB2025-ZCCS-031820250417001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第九届丝博会陕菜美食文化交流活动西安特色美食展项目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SXZCZB2025-ZCCS-0318</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第九届丝博会陕菜美食文化交流活动西安特色美食展项目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SXZCZB2025-ZCCS-0318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第九届丝博会陕菜美食文化交流活动西安特色美食展项目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第九届丝博会陕菜美食文化交流活动西安特色美食展项目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采购包1（第九届丝博会陕菜美食文化交流活动西安特色美食展项目）：属于专门面向中小企业采购。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3、财务审计报告：提供2023年度或2024年度的财务审计报告（成立时间至提交响应文件截止时间不足一年的可提供成立后任意时段的资产负债表），或开标时间前六个月内银行出具的资信证明；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4、税收缴纳证明：提供2024年4月至今已缴纳任意一个月的纳税证明或完税证明（任意税种），依法免税的单位应提供相关证明材料；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5、社会保障资金缴纳证明：提供2024年4月至今已缴纳任意一个月的社会保障资金缴存单据或社保机构开具的社会保险参保缴费情况证明，依法不需要缴纳社会保障资金的单位应提供相关证明材料；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8、履约承诺：提供具有履行本合同所必需的设备和专业技术能力的说明及承诺书；</w:t>
      </w:r>
    </w:p>
    <w:p>
      <w:pPr>
        <w:pStyle w:val="null3"/>
      </w:pPr>
      <w:r>
        <w:rPr>
          <w:rFonts w:ascii="仿宋_GB2312" w:hAnsi="仿宋_GB2312" w:cs="仿宋_GB2312" w:eastAsia="仿宋_GB2312"/>
        </w:rPr>
        <w:t>9、中小企业声明函：本采购包专门面向中小企业采购（提供中小企业声明函）；</w:t>
      </w:r>
    </w:p>
    <w:p>
      <w:pPr>
        <w:pStyle w:val="null3"/>
      </w:pPr>
      <w:r>
        <w:rPr>
          <w:rFonts w:ascii="仿宋_GB2312" w:hAnsi="仿宋_GB2312" w:cs="仿宋_GB2312" w:eastAsia="仿宋_GB2312"/>
        </w:rPr>
        <w:t>10、非联合体承诺：本项目不接受联合体磋商（提供承诺书）。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联系人：倪沛、王欣玫、胡晓均</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地址：陕西省西安市未央区未央路171-1 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第九届丝博会陕菜美食文化交流活动西安特色美食展项目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第九届丝博会陕菜美食文化交流活动-西安特色美食展活动策划、组织、执行等服务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标的名称：第九届丝博会陕菜美食文化交流活动-西安特色美食展活动策划、组织、执行等服务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81"/>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第九届丝博会陕菜美食文化交流活动-西安特色美食展将于5月20日－25日在西安会展中心举办，西安特色美食展销为本届美食文化节中部分内容，面积540㎡（长15米X宽36米），需对展区进行设计搭建并精心组织筛选一定数量老字号、知名美食、特色名吃等餐饮企业参与展销，并开展配套服务。</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1、根据西安特色美食展销会场情况进行场馆策划、设计、搭建；</w:t>
            </w:r>
          </w:p>
          <w:p>
            <w:pPr>
              <w:pStyle w:val="null3"/>
            </w:pPr>
            <w:r>
              <w:rPr>
                <w:rFonts w:ascii="仿宋_GB2312" w:hAnsi="仿宋_GB2312" w:cs="仿宋_GB2312" w:eastAsia="仿宋_GB2312"/>
              </w:rPr>
              <w:t>2、根据大会时间安排，合理开展现场活动及氛围营造；</w:t>
            </w:r>
          </w:p>
          <w:p>
            <w:pPr>
              <w:pStyle w:val="null3"/>
            </w:pPr>
            <w:r>
              <w:rPr>
                <w:rFonts w:ascii="仿宋_GB2312" w:hAnsi="仿宋_GB2312" w:cs="仿宋_GB2312" w:eastAsia="仿宋_GB2312"/>
              </w:rPr>
              <w:t>3、精心组织一定数量（不低于20家）的老字号、知名美食、特色名吃等餐饮企业参加；</w:t>
            </w:r>
          </w:p>
          <w:p>
            <w:pPr>
              <w:pStyle w:val="null3"/>
            </w:pPr>
            <w:r>
              <w:rPr>
                <w:rFonts w:ascii="仿宋_GB2312" w:hAnsi="仿宋_GB2312" w:cs="仿宋_GB2312" w:eastAsia="仿宋_GB2312"/>
              </w:rPr>
              <w:t>4、根据活动内容，制作相关宣传物料。需充分考虑宣传物料的文化感、设计感与材质，内容需符合西安美食宣传主题；</w:t>
            </w:r>
          </w:p>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具有优质的专家团队、良好的展商动员能力，具备类似活动策划、组织、服务及宣传能力，提供营业执照。</w:t>
            </w:r>
          </w:p>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在合同执行过程中需要服务商应执行的相关服务标准和应当履行的相关义务。</w:t>
            </w:r>
          </w:p>
          <w:p>
            <w:pPr>
              <w:pStyle w:val="null3"/>
            </w:pPr>
            <w:r>
              <w:rPr>
                <w:rFonts w:ascii="仿宋_GB2312" w:hAnsi="仿宋_GB2312" w:cs="仿宋_GB2312" w:eastAsia="仿宋_GB2312"/>
              </w:rPr>
              <w:t>1、提供具有会展规划设计人员、搭建人员、会场服务人员、策划宣传人员等 ；</w:t>
            </w:r>
          </w:p>
          <w:p>
            <w:pPr>
              <w:pStyle w:val="null3"/>
            </w:pPr>
            <w:r>
              <w:rPr>
                <w:rFonts w:ascii="仿宋_GB2312" w:hAnsi="仿宋_GB2312" w:cs="仿宋_GB2312" w:eastAsia="仿宋_GB2312"/>
              </w:rPr>
              <w:t>2、有固定的办公场所和必要的设施条件；</w:t>
            </w:r>
          </w:p>
          <w:p>
            <w:pPr>
              <w:pStyle w:val="null3"/>
            </w:pPr>
            <w:r>
              <w:rPr>
                <w:rFonts w:ascii="仿宋_GB2312" w:hAnsi="仿宋_GB2312" w:cs="仿宋_GB2312" w:eastAsia="仿宋_GB2312"/>
              </w:rPr>
              <w:t>3、材料真实性承诺书；</w:t>
            </w:r>
          </w:p>
          <w:p>
            <w:pPr>
              <w:pStyle w:val="null3"/>
            </w:pPr>
            <w:r>
              <w:rPr>
                <w:rFonts w:ascii="仿宋_GB2312" w:hAnsi="仿宋_GB2312" w:cs="仿宋_GB2312" w:eastAsia="仿宋_GB2312"/>
              </w:rPr>
              <w:t>4、供应商提供服务过程中，不得借机推销其他业务或者设备，不得向涉及企业收取费用，项目结束后不得再以委托方名义进行商业活动。</w:t>
            </w:r>
          </w:p>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自合同签订之日起至2025年5月30日。</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本活动一次性付款，活动结束、验收合格后，收到供应商提供的合规发票 ，达到付款条件起 20 日内，支付合同总金额的 100.00%。</w:t>
            </w:r>
          </w:p>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优先选择具有会展搭建项目、会场服务、策划宣传项目业绩的企业（提供合同等佐证材料）；</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按照甲方进度要求时间完成全部工作。</w:t>
            </w:r>
          </w:p>
          <w:p>
            <w:pPr>
              <w:pStyle w:val="null3"/>
            </w:pPr>
            <w:r>
              <w:rPr>
                <w:rFonts w:ascii="仿宋_GB2312" w:hAnsi="仿宋_GB2312" w:cs="仿宋_GB2312" w:eastAsia="仿宋_GB2312"/>
              </w:rPr>
              <w:t>（三）成果交付要求</w:t>
            </w:r>
          </w:p>
          <w:p>
            <w:pPr>
              <w:pStyle w:val="null3"/>
            </w:pPr>
            <w:r>
              <w:rPr>
                <w:rFonts w:ascii="仿宋_GB2312" w:hAnsi="仿宋_GB2312" w:cs="仿宋_GB2312" w:eastAsia="仿宋_GB2312"/>
              </w:rPr>
              <w:t>需达到采购人对项目的具体要求。</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1、服务期满后按照成交供应商所提供的资料及数据进行验收；</w:t>
            </w:r>
          </w:p>
          <w:p>
            <w:pPr>
              <w:pStyle w:val="null3"/>
            </w:pPr>
            <w:r>
              <w:rPr>
                <w:rFonts w:ascii="仿宋_GB2312" w:hAnsi="仿宋_GB2312" w:cs="仿宋_GB2312" w:eastAsia="仿宋_GB2312"/>
              </w:rPr>
              <w:t>2、最终验收：自合同签订之日起至完成全部项目内容，需按照采购人确定的时间完成交付并验收合格。</w:t>
            </w:r>
          </w:p>
          <w:p>
            <w:pPr>
              <w:pStyle w:val="null3"/>
            </w:pPr>
            <w:r>
              <w:rPr>
                <w:rFonts w:ascii="仿宋_GB2312" w:hAnsi="仿宋_GB2312" w:cs="仿宋_GB2312" w:eastAsia="仿宋_GB2312"/>
              </w:rPr>
              <w:t>3、验收和评价方式</w:t>
            </w:r>
          </w:p>
          <w:p>
            <w:pPr>
              <w:pStyle w:val="null3"/>
            </w:pPr>
            <w:r>
              <w:rPr>
                <w:rFonts w:ascii="仿宋_GB2312" w:hAnsi="仿宋_GB2312" w:cs="仿宋_GB2312" w:eastAsia="仿宋_GB2312"/>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rPr>
              <w:t>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3.3  验收标准：按磋商文件、磋商响应文件等服务指标进行逐项验收，各项指标均应符合验收标准及要求。</w:t>
            </w:r>
          </w:p>
          <w:p>
            <w:pPr>
              <w:pStyle w:val="null3"/>
            </w:pPr>
            <w:r>
              <w:rPr>
                <w:rFonts w:ascii="仿宋_GB2312" w:hAnsi="仿宋_GB2312" w:cs="仿宋_GB2312" w:eastAsia="仿宋_GB2312"/>
              </w:rPr>
              <w:t>3.4  验收合格后，填写验收单，双方盖章、签字生效。</w:t>
            </w:r>
          </w:p>
          <w:p>
            <w:pPr>
              <w:pStyle w:val="null3"/>
            </w:pPr>
            <w:r>
              <w:rPr>
                <w:rFonts w:ascii="仿宋_GB2312" w:hAnsi="仿宋_GB2312" w:cs="仿宋_GB2312" w:eastAsia="仿宋_GB2312"/>
              </w:rPr>
              <w:t>3.5  验收依据</w:t>
            </w:r>
          </w:p>
          <w:p>
            <w:pPr>
              <w:pStyle w:val="null3"/>
            </w:pPr>
            <w:r>
              <w:rPr>
                <w:rFonts w:ascii="仿宋_GB2312" w:hAnsi="仿宋_GB2312" w:cs="仿宋_GB2312" w:eastAsia="仿宋_GB2312"/>
              </w:rPr>
              <w:t>3.5.1  合同文本。</w:t>
            </w:r>
          </w:p>
          <w:p>
            <w:pPr>
              <w:pStyle w:val="null3"/>
            </w:pPr>
            <w:r>
              <w:rPr>
                <w:rFonts w:ascii="仿宋_GB2312" w:hAnsi="仿宋_GB2312" w:cs="仿宋_GB2312" w:eastAsia="仿宋_GB2312"/>
              </w:rPr>
              <w:t>3.5.2  磋商响应文件、磋商文件、澄清函。</w:t>
            </w:r>
          </w:p>
          <w:p>
            <w:pPr>
              <w:pStyle w:val="null3"/>
            </w:pPr>
            <w:r>
              <w:rPr>
                <w:rFonts w:ascii="仿宋_GB2312" w:hAnsi="仿宋_GB2312" w:cs="仿宋_GB2312" w:eastAsia="仿宋_GB2312"/>
              </w:rPr>
              <w:t>3.5.3  国家和行业制定的相应的标准和规范。</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1、按《民法典》中的相关条款执行。</w:t>
            </w:r>
          </w:p>
          <w:p>
            <w:pPr>
              <w:pStyle w:val="null3"/>
            </w:pPr>
            <w:r>
              <w:rPr>
                <w:rFonts w:ascii="仿宋_GB2312" w:hAnsi="仿宋_GB2312" w:cs="仿宋_GB2312" w:eastAsia="仿宋_GB2312"/>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3、如有异议另行协商。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自合同签订之日起至2025年5月30日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活动结束、验收合格后，收到供应商提供的合规发票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中小企业声明函 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三、赋分标准（满分12分） ①项目理解：每完全满足一个评审标准得 2分，满分6分； ②需求分析：每完全满足一个评审标准得1分，满分3分； ③项目重难点分析：每完全满足一个评审标准得1 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三、赋分标准（满分15分） ①整体服务方案：每完全满足一个评审标准得1.5分，满分4.5分； ②项目实施计划：每完全满足一个评审标准得1.5分，满分4.5分； ③组织实施方案：每完全满足一个评审标准得2分，满分6分。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①质量保证措施：每完全满足一个评审标准得1分，满分3分； ②进度控制措施：每完全满足一个评审标准得1分，满分3分； ③安全管理措施：每完全满足一个评审标准得2分，满分6分。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活动方案</w:t>
            </w:r>
          </w:p>
        </w:tc>
        <w:tc>
          <w:tcPr>
            <w:tcW w:type="dxa" w:w="2492"/>
          </w:tcPr>
          <w:p>
            <w:pPr>
              <w:pStyle w:val="null3"/>
            </w:pPr>
            <w:r>
              <w:rPr>
                <w:rFonts w:ascii="仿宋_GB2312" w:hAnsi="仿宋_GB2312" w:cs="仿宋_GB2312" w:eastAsia="仿宋_GB2312"/>
              </w:rPr>
              <w:t>一、评审内容 针对本项目提出适用于本项目的活动服务方案，方案包括：①活动整体策划方案②活动现场布置方案③活动实施安排方案 二、评审标准 1、完整性：方案必须全面，对评审内容中的各项要求有详细描述； 2、可实施性：切合本项目实际情况，提出步骤清晰、合理的方案； 3、针对性：方案能够紧扣项目实际情况，内容科学合理。 三、赋分标准（满分12分） ①整体策划方案：每完全满足一个评审标准得2分，满分6分； ②现场布置方案：每完全满足一个评审标准得1分，满分3分; ③实施安排方案：每完全满足一个评审标准得1分，满分3分。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针对本项目提出适用于本项目的实施管理方案，方案包括：①拟投入的设备、物料②人员组织管理方案③会议资料总结 二、评审标准 1、完整性：方案必须全面，对评审内容中的各项要求有详细描述； 2、可实施性：切合本项目实际情况，提出步骤清晰、合理的方案； 3、针对性：方案能够紧扣项目实际情况，内容科学合理。 三、赋分标准（满分9分） ①拟投入的设备、物料：每完全满足一个评审标准得1分，满分3分； ②人员组织管理方案：每完全满足一个评审标准得1分，满分3分； ③会议资料总结：每完全满足一个评审标准得1分，满分3分。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①服务承诺：每完全满足一个评审标准得1分，满分3分； ②应急预案：每完全满足一个评审标准得1分，满分3分； ③应急保障措施：每完全满足一个评审标准得1分，满分3分。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对本项目服务工作中的常见问题进行梳理，具有良好的解决方案并及时向采购人提出合理化建议，每提供一条有效的建议得1分，满分1分。不提供不得分。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1）针对本项目拟配备服务团队人员架构齐全、数量充足、专业经验丰富，配备方案合理高效，逻辑结构清晰且具有针对性的，得7-10分；（2）针对本项目拟配备服务团队人员架构基本齐全、数量基本充足、专业经验丰富，配备方案明确且具有一定合理性，逻辑结构基本清晰且具有一定针对性的，得3-7分；（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会展搭建项目、会场服务、策划宣传项目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