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版本号：GZH-ZB-20250401320250417001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办事大厅职工食堂食材配送服务项目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GZH-ZB-202504013</w:t>
      </w:r>
      <w:r>
        <w:br/>
      </w:r>
      <w:r>
        <w:br/>
      </w:r>
      <w:r>
        <w:br/>
      </w:r>
    </w:p>
    <w:p>
      <w:pPr>
        <w:pStyle w:val="null3"/>
        <w:jc w:val="center"/>
        <w:outlineLvl w:val="2"/>
      </w:pPr>
      <w:r>
        <w:rPr>
          <w:rFonts w:ascii="仿宋_GB2312" w:hAnsi="仿宋_GB2312" w:cs="仿宋_GB2312" w:eastAsia="仿宋_GB2312"/>
          <w:sz w:val="28"/>
          <w:b/>
        </w:rPr>
        <w:t>西安市不动产登记服务中心</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西安市不动产登记服务中心</w:t>
      </w:r>
      <w:r>
        <w:rPr>
          <w:rFonts w:ascii="仿宋_GB2312" w:hAnsi="仿宋_GB2312" w:cs="仿宋_GB2312" w:eastAsia="仿宋_GB2312"/>
        </w:rPr>
        <w:t>委托，拟对</w:t>
      </w:r>
      <w:r>
        <w:rPr>
          <w:rFonts w:ascii="仿宋_GB2312" w:hAnsi="仿宋_GB2312" w:cs="仿宋_GB2312" w:eastAsia="仿宋_GB2312"/>
        </w:rPr>
        <w:t>办事大厅职工食堂食材配送服务项目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GZH-ZB-202504013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办事大厅职工食堂食材配送服务项目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办事大厅职工食堂食材配送服务主要为满足办事大厅职工食堂食材的供应，食材供应包含米、面、油，蔬菜、肉类、水产类，蛋、奶制品、水果，豆制品及其他半成品，干货、调料、调味品以及其他日常消耗品等，所配送食材需符合国家食品安全要求；保证职工食堂正常开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采购包1（办事大厅职工食堂食材配送服务项目）：属于专门面向中小企业采购。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2023年度或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8、供应商资质：供应商为生产厂家的须具有《食品生产许可证》及《食品经营许可证》；供应商为代理商的须提供《食品经营许可证》。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朱雀大街中段朱雀云天大厦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法铂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029-85569560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采购包1：740,784.00元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本采购包履约保证金为合同金额的10.0%</w:t>
            </w:r>
          </w:p>
          <w:p>
            <w:pPr>
              <w:pStyle w:val="null3"/>
            </w:pPr>
            <w:r>
              <w:rPr>
                <w:rFonts w:ascii="仿宋_GB2312" w:hAnsi="仿宋_GB2312" w:cs="仿宋_GB2312" w:eastAsia="仿宋_GB2312"/>
              </w:rPr>
              <w:t>说明：在2025年12月20日前，成交供应商缴纳项目履约保证金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代理服务费收费标准：采购代理服务费参照国家发展改革委《关于降低部分建设项目收费标准规范收费行为等有关问题的通知》（发改价格[2011]534号）规定的标准计取。 缴纳账号：陕西国中恒工程项目管理有限公司 开户银行：中国建设银行股份有限公司西安莲湖路支行 银行账号：61050171110000001138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西安市不动产登记服务中心</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西安市不动产登记服务中心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食品质量按照《中华人民共和国食品安全法》、《中华人民共和国产品质量法》、《中华人民共和国家农产品质量安全法》保证食品质量。提供的食品必须符合上述法律法规的规定或国家或行业现行规定的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办事大厅职工食堂食材配送服务主要为满足办事大厅职工食堂食材的供应，食材供应包含米、面、油，蔬菜、肉类、水产类，蛋、奶制品、水果，豆制品及其他半成品，干货、调料、调味品以及其他日常消耗品等，所配送食材需符合国家食品安全要求；保证职工食堂正常开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740,784.00</w:t>
      </w:r>
    </w:p>
    <w:p>
      <w:pPr>
        <w:pStyle w:val="null3"/>
      </w:pPr>
      <w:r>
        <w:rPr>
          <w:rFonts w:ascii="仿宋_GB2312" w:hAnsi="仿宋_GB2312" w:cs="仿宋_GB2312" w:eastAsia="仿宋_GB2312"/>
        </w:rPr>
        <w:t>采购包最高限价（元）: 740,784.00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食材配送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740,784.00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标的名称：食材配送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ind w:firstLine="420"/>
              <w:jc w:val="left"/>
            </w:pPr>
            <w:r>
              <w:rPr>
                <w:rFonts w:ascii="仿宋_GB2312" w:hAnsi="仿宋_GB2312" w:cs="仿宋_GB2312" w:eastAsia="仿宋_GB2312"/>
              </w:rPr>
              <w:t>中心办事大厅职工食堂食材配送服务主要为满足办事大厅职工食堂食材的供应，食材供应包含米、面、油，蔬菜、肉类、水产类，蛋、奶制品、水果，豆制品及其他半成品，干货、调料、调味品以及其他日常消耗品等，所配送食材需符合国家食品安全要求；保证职工食堂正常开餐。</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采购要求</w:t>
            </w:r>
          </w:p>
        </w:tc>
        <w:tc>
          <w:tcPr>
            <w:tcW w:type="dxa" w:w="2076"/>
          </w:tcPr>
          <w:p>
            <w:pPr>
              <w:pStyle w:val="null3"/>
              <w:ind w:firstLine="420"/>
              <w:jc w:val="both"/>
            </w:pPr>
            <w:r>
              <w:rPr>
                <w:rFonts w:ascii="仿宋_GB2312" w:hAnsi="仿宋_GB2312" w:cs="仿宋_GB2312" w:eastAsia="仿宋_GB2312"/>
              </w:rPr>
              <w:t>（一）食材具体要求</w:t>
            </w:r>
          </w:p>
          <w:p>
            <w:pPr>
              <w:pStyle w:val="null3"/>
            </w:pPr>
            <w:r>
              <w:rPr>
                <w:rFonts w:ascii="仿宋_GB2312" w:hAnsi="仿宋_GB2312" w:cs="仿宋_GB2312" w:eastAsia="仿宋_GB2312"/>
              </w:rPr>
              <w:t>1、所有食材均须符合《中华人民共和国产品质量法》、《中华人民共和国食品安全法》，须具备所配送产品的检测报告或食品检验合格证，且主要食材应选取可靠品牌。</w:t>
            </w:r>
          </w:p>
          <w:p>
            <w:pPr>
              <w:pStyle w:val="null3"/>
            </w:pPr>
            <w:r>
              <w:rPr>
                <w:rFonts w:ascii="仿宋_GB2312" w:hAnsi="仿宋_GB2312" w:cs="仿宋_GB2312" w:eastAsia="仿宋_GB2312"/>
              </w:rPr>
              <w:t>2、小麦粉：大于等于25kg/袋，独立包装，质量符合国家标准(GB/T 1355-2021) “精制粉”标准要求（提供半年内产品检测报告）；便于运输、储存，非转基因小麦粉。</w:t>
            </w:r>
          </w:p>
          <w:p>
            <w:pPr>
              <w:pStyle w:val="null3"/>
            </w:pPr>
            <w:r>
              <w:rPr>
                <w:rFonts w:ascii="仿宋_GB2312" w:hAnsi="仿宋_GB2312" w:cs="仿宋_GB2312" w:eastAsia="仿宋_GB2312"/>
              </w:rPr>
              <w:t>3、食用油：大于等于16.4L/桶，独立包装，质量符合国家标准（GB1536-2021）“菜籽油”一级或以上标准要求（提供半年内产品检测报告），便于运输、储存，非转基因。</w:t>
            </w:r>
          </w:p>
          <w:p>
            <w:pPr>
              <w:pStyle w:val="null3"/>
            </w:pPr>
            <w:r>
              <w:rPr>
                <w:rFonts w:ascii="仿宋_GB2312" w:hAnsi="仿宋_GB2312" w:cs="仿宋_GB2312" w:eastAsia="仿宋_GB2312"/>
              </w:rPr>
              <w:t>4、大米：大于等于25kg/袋，独立包装，质量符合国家标准（GB/T1354-2018）“粳米”一级或以上标准要求（提供半年内产品检测报告）；便于运输、储存，非转基因大米。</w:t>
            </w:r>
          </w:p>
          <w:p>
            <w:pPr>
              <w:pStyle w:val="null3"/>
            </w:pPr>
            <w:r>
              <w:rPr>
                <w:rFonts w:ascii="仿宋_GB2312" w:hAnsi="仿宋_GB2312" w:cs="仿宋_GB2312" w:eastAsia="仿宋_GB2312"/>
              </w:rPr>
              <w:t>5、蔬菜、禽蛋必须保证新鲜，果蔬必须符合《食品安全国家标准食品中农药最大残留限量》GB2763系列最新标准的食品中农药最大残留限量标准并具有农药残留检验记录；</w:t>
            </w:r>
          </w:p>
          <w:p>
            <w:pPr>
              <w:pStyle w:val="null3"/>
            </w:pPr>
            <w:r>
              <w:rPr>
                <w:rFonts w:ascii="仿宋_GB2312" w:hAnsi="仿宋_GB2312" w:cs="仿宋_GB2312" w:eastAsia="仿宋_GB2312"/>
              </w:rPr>
              <w:t>6、肉类、冷冻产品必须保证质量，应具有相关动物检验检疫合格证明，供应商应设有固定的经营场所，并具有符合卫生防疫监督部门要求的肉类食材屠宰厂的经营授权书，含水（冰）率符合标准；</w:t>
            </w:r>
          </w:p>
          <w:p>
            <w:pPr>
              <w:pStyle w:val="null3"/>
            </w:pPr>
            <w:r>
              <w:rPr>
                <w:rFonts w:ascii="仿宋_GB2312" w:hAnsi="仿宋_GB2312" w:cs="仿宋_GB2312" w:eastAsia="仿宋_GB2312"/>
              </w:rPr>
              <w:t>7、杂粮及调味品要品质好，无霉变、无杂质。定型包装调味品必须保证质量并提供相关证明材料（包含但不限于“SC”食品生产许可证、质量检测报告等）；</w:t>
            </w:r>
          </w:p>
          <w:p>
            <w:pPr>
              <w:pStyle w:val="null3"/>
            </w:pPr>
            <w:r>
              <w:rPr>
                <w:rFonts w:ascii="仿宋_GB2312" w:hAnsi="仿宋_GB2312" w:cs="仿宋_GB2312" w:eastAsia="仿宋_GB2312"/>
              </w:rPr>
              <w:t>8、豆制品、乳制品及其他半成品送货当日时间不得超过保质期的 1/3 时长， 提供保证质量的相关证明材料（包含但不限于“SC”食品生产许可证、质量检测报告等）。</w:t>
            </w:r>
          </w:p>
          <w:p>
            <w:pPr>
              <w:pStyle w:val="null3"/>
            </w:pPr>
            <w:r>
              <w:rPr>
                <w:rFonts w:ascii="仿宋_GB2312" w:hAnsi="仿宋_GB2312" w:cs="仿宋_GB2312" w:eastAsia="仿宋_GB2312"/>
              </w:rPr>
              <w:t>注：如国家制定新的食品安全标准，即按新标准执行。</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项目</w:t>
                  </w:r>
                </w:p>
              </w:tc>
              <w:tc>
                <w:tcPr>
                  <w:tcW w:type="dxa" w:w="620"/>
                </w:tcPr>
                <w:p>
                  <w:pPr>
                    <w:pStyle w:val="null3"/>
                  </w:pPr>
                  <w:r>
                    <w:rPr>
                      <w:rFonts w:ascii="仿宋_GB2312" w:hAnsi="仿宋_GB2312" w:cs="仿宋_GB2312" w:eastAsia="仿宋_GB2312"/>
                    </w:rPr>
                    <w:t>质量要求及包装标准</w:t>
                  </w:r>
                </w:p>
              </w:tc>
              <w:tc>
                <w:tcPr>
                  <w:tcW w:type="dxa" w:w="620"/>
                </w:tcPr>
                <w:p>
                  <w:pPr>
                    <w:pStyle w:val="null3"/>
                  </w:pPr>
                  <w:r>
                    <w:rPr>
                      <w:rFonts w:ascii="仿宋_GB2312" w:hAnsi="仿宋_GB2312" w:cs="仿宋_GB2312" w:eastAsia="仿宋_GB2312"/>
                    </w:rPr>
                    <w:t>备注</w:t>
                  </w:r>
                </w:p>
              </w:tc>
            </w:tr>
            <w:tr>
              <w:tc>
                <w:tcPr>
                  <w:tcW w:type="dxa" w:w="620"/>
                </w:tcPr>
                <w:p>
                  <w:pPr>
                    <w:pStyle w:val="null3"/>
                  </w:pPr>
                  <w:r>
                    <w:rPr>
                      <w:rFonts w:ascii="仿宋_GB2312" w:hAnsi="仿宋_GB2312" w:cs="仿宋_GB2312" w:eastAsia="仿宋_GB2312"/>
                    </w:rPr>
                    <w:t>肉禽类</w:t>
                  </w:r>
                </w:p>
              </w:tc>
              <w:tc>
                <w:tcPr>
                  <w:tcW w:type="dxa" w:w="620"/>
                </w:tcPr>
                <w:p>
                  <w:pPr>
                    <w:pStyle w:val="null3"/>
                  </w:pPr>
                  <w:r>
                    <w:rPr>
                      <w:rFonts w:ascii="仿宋_GB2312" w:hAnsi="仿宋_GB2312" w:cs="仿宋_GB2312" w:eastAsia="仿宋_GB2312"/>
                    </w:rPr>
                    <w:t>肉身必须盖有卫生检疫章，须出具加盖国家或地方政府监督所检疫章的动物检疫证明。肉品须表皮洁净、膘厚适中、色泽鲜亮、纹理清晰、肉质细腻、无异味、去骨、无毛、按压无水迹。</w:t>
                  </w:r>
                </w:p>
              </w:tc>
              <w:tc>
                <w:tcPr>
                  <w:tcW w:type="dxa" w:w="620"/>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所有商品必须满足国家和地方相关规定</w:t>
                  </w:r>
                </w:p>
              </w:tc>
            </w:tr>
            <w:tr>
              <w:tc>
                <w:tcPr>
                  <w:tcW w:type="dxa" w:w="620"/>
                </w:tcPr>
                <w:p>
                  <w:pPr>
                    <w:pStyle w:val="null3"/>
                  </w:pPr>
                  <w:r>
                    <w:rPr>
                      <w:rFonts w:ascii="仿宋_GB2312" w:hAnsi="仿宋_GB2312" w:cs="仿宋_GB2312" w:eastAsia="仿宋_GB2312"/>
                    </w:rPr>
                    <w:t>蔬菜类</w:t>
                  </w:r>
                </w:p>
              </w:tc>
              <w:tc>
                <w:tcPr>
                  <w:tcW w:type="dxa" w:w="620"/>
                </w:tcPr>
                <w:p>
                  <w:pPr>
                    <w:pStyle w:val="null3"/>
                  </w:pPr>
                  <w:r>
                    <w:rPr>
                      <w:rFonts w:ascii="仿宋_GB2312" w:hAnsi="仿宋_GB2312" w:cs="仿宋_GB2312" w:eastAsia="仿宋_GB2312"/>
                    </w:rPr>
                    <w:t>当季各类新鲜蔬菜以及大棚种植蔬菜，蔬菜类必须保证无黄叶、枯死叶、无虫、无杂质，须 48 小时内采摘供应，原菜须保证菜面干净、无明显泥土、码放整齐、无破损、大小基本 统一、不得过熟或欠熟；净菜须保证菜面完全干净、无泥土、 按统一标准加工、码放整齐、无须二次处理可以直接进行熟加工</w:t>
                  </w:r>
                </w:p>
              </w:tc>
              <w:tc>
                <w:tcPr>
                  <w:tcW w:type="dxa" w:w="620"/>
                  <w:vMerge/>
                </w:tcPr>
                <w:p/>
              </w:tc>
            </w:tr>
            <w:tr>
              <w:tc>
                <w:tcPr>
                  <w:tcW w:type="dxa" w:w="620"/>
                </w:tcPr>
                <w:p>
                  <w:pPr>
                    <w:pStyle w:val="null3"/>
                  </w:pPr>
                  <w:r>
                    <w:rPr>
                      <w:rFonts w:ascii="仿宋_GB2312" w:hAnsi="仿宋_GB2312" w:cs="仿宋_GB2312" w:eastAsia="仿宋_GB2312"/>
                    </w:rPr>
                    <w:t>蛋类</w:t>
                  </w:r>
                </w:p>
              </w:tc>
              <w:tc>
                <w:tcPr>
                  <w:tcW w:type="dxa" w:w="620"/>
                </w:tcPr>
                <w:p>
                  <w:pPr>
                    <w:pStyle w:val="null3"/>
                  </w:pPr>
                  <w:r>
                    <w:rPr>
                      <w:rFonts w:ascii="仿宋_GB2312" w:hAnsi="仿宋_GB2312" w:cs="仿宋_GB2312" w:eastAsia="仿宋_GB2312"/>
                    </w:rPr>
                    <w:t>鲜新、大小均匀、无破损、色泽光滑，须出具加盖地方政府监督所检疫章的动物检疫证明</w:t>
                  </w:r>
                </w:p>
              </w:tc>
              <w:tc>
                <w:tcPr>
                  <w:tcW w:type="dxa" w:w="620"/>
                  <w:vMerge/>
                </w:tcPr>
                <w:p/>
              </w:tc>
            </w:tr>
            <w:tr>
              <w:tc>
                <w:tcPr>
                  <w:tcW w:type="dxa" w:w="620"/>
                </w:tcPr>
                <w:p>
                  <w:pPr>
                    <w:pStyle w:val="null3"/>
                  </w:pPr>
                  <w:r>
                    <w:rPr>
                      <w:rFonts w:ascii="仿宋_GB2312" w:hAnsi="仿宋_GB2312" w:cs="仿宋_GB2312" w:eastAsia="仿宋_GB2312"/>
                    </w:rPr>
                    <w:t>豆制品</w:t>
                  </w:r>
                </w:p>
              </w:tc>
              <w:tc>
                <w:tcPr>
                  <w:tcW w:type="dxa" w:w="620"/>
                </w:tcPr>
                <w:p>
                  <w:pPr>
                    <w:pStyle w:val="null3"/>
                  </w:pPr>
                  <w:r>
                    <w:rPr>
                      <w:rFonts w:ascii="仿宋_GB2312" w:hAnsi="仿宋_GB2312" w:cs="仿宋_GB2312" w:eastAsia="仿宋_GB2312"/>
                    </w:rPr>
                    <w:t>豆腐、豆腐干、绿豆芽、黄豆芽、红豆等；须保证食材干 净、不含非食品用化学物质、按统一标准加工、码放整齐、无 须二次处理可以直接进行熟加工</w:t>
                  </w:r>
                </w:p>
              </w:tc>
              <w:tc>
                <w:tcPr>
                  <w:tcW w:type="dxa" w:w="620"/>
                  <w:vMerge/>
                </w:tcPr>
                <w:p/>
              </w:tc>
            </w:tr>
            <w:tr>
              <w:tc>
                <w:tcPr>
                  <w:tcW w:type="dxa" w:w="620"/>
                </w:tcPr>
                <w:p>
                  <w:pPr>
                    <w:pStyle w:val="null3"/>
                  </w:pPr>
                  <w:r>
                    <w:rPr>
                      <w:rFonts w:ascii="仿宋_GB2312" w:hAnsi="仿宋_GB2312" w:cs="仿宋_GB2312" w:eastAsia="仿宋_GB2312"/>
                    </w:rPr>
                    <w:t>水果</w:t>
                  </w:r>
                </w:p>
              </w:tc>
              <w:tc>
                <w:tcPr>
                  <w:tcW w:type="dxa" w:w="620"/>
                </w:tcPr>
                <w:p>
                  <w:pPr>
                    <w:pStyle w:val="null3"/>
                  </w:pPr>
                  <w:r>
                    <w:rPr>
                      <w:rFonts w:ascii="仿宋_GB2312" w:hAnsi="仿宋_GB2312" w:cs="仿宋_GB2312" w:eastAsia="仿宋_GB2312"/>
                    </w:rPr>
                    <w:t>当即各类水果，无虫、无杂质，须 48 小时内采摘供应，原水果须保证果面干净、无明显泥土、码放整齐、无破损、大小基本统一、不得过熟或欠熟</w:t>
                  </w:r>
                </w:p>
              </w:tc>
              <w:tc>
                <w:tcPr>
                  <w:tcW w:type="dxa" w:w="620"/>
                  <w:vMerge/>
                </w:tcPr>
                <w:p/>
              </w:tc>
            </w:tr>
            <w:tr>
              <w:tc>
                <w:tcPr>
                  <w:tcW w:type="dxa" w:w="620"/>
                </w:tcPr>
                <w:p>
                  <w:pPr>
                    <w:pStyle w:val="null3"/>
                  </w:pPr>
                  <w:r>
                    <w:rPr>
                      <w:rFonts w:ascii="仿宋_GB2312" w:hAnsi="仿宋_GB2312" w:cs="仿宋_GB2312" w:eastAsia="仿宋_GB2312"/>
                    </w:rPr>
                    <w:t>米线</w:t>
                  </w:r>
                </w:p>
              </w:tc>
              <w:tc>
                <w:tcPr>
                  <w:tcW w:type="dxa" w:w="620"/>
                </w:tcPr>
                <w:p>
                  <w:pPr>
                    <w:pStyle w:val="null3"/>
                  </w:pPr>
                  <w:r>
                    <w:rPr>
                      <w:rFonts w:ascii="仿宋_GB2312" w:hAnsi="仿宋_GB2312" w:cs="仿宋_GB2312" w:eastAsia="仿宋_GB2312"/>
                    </w:rPr>
                    <w:t>米线；要求原材料不含非食品用化学物质、不掺假、不过期、不变质、不变味、无杂质、无毒害，符合国家食品行业的标准</w:t>
                  </w:r>
                </w:p>
              </w:tc>
              <w:tc>
                <w:tcPr>
                  <w:tcW w:type="dxa" w:w="620"/>
                  <w:vMerge/>
                </w:tcPr>
                <w:p/>
              </w:tc>
            </w:tr>
            <w:tr>
              <w:tc>
                <w:tcPr>
                  <w:tcW w:type="dxa" w:w="620"/>
                </w:tcPr>
                <w:p>
                  <w:pPr>
                    <w:pStyle w:val="null3"/>
                  </w:pPr>
                  <w:r>
                    <w:rPr>
                      <w:rFonts w:ascii="仿宋_GB2312" w:hAnsi="仿宋_GB2312" w:cs="仿宋_GB2312" w:eastAsia="仿宋_GB2312"/>
                    </w:rPr>
                    <w:t>水产品</w:t>
                  </w:r>
                </w:p>
              </w:tc>
              <w:tc>
                <w:tcPr>
                  <w:tcW w:type="dxa" w:w="620"/>
                </w:tcPr>
                <w:p>
                  <w:pPr>
                    <w:pStyle w:val="null3"/>
                  </w:pPr>
                  <w:r>
                    <w:rPr>
                      <w:rFonts w:ascii="仿宋_GB2312" w:hAnsi="仿宋_GB2312" w:cs="仿宋_GB2312" w:eastAsia="仿宋_GB2312"/>
                    </w:rPr>
                    <w:t>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w:t>
                  </w:r>
                </w:p>
              </w:tc>
              <w:tc>
                <w:tcPr>
                  <w:tcW w:type="dxa" w:w="620"/>
                  <w:vMerge/>
                </w:tcPr>
                <w:p/>
              </w:tc>
            </w:tr>
            <w:tr>
              <w:tc>
                <w:tcPr>
                  <w:tcW w:type="dxa" w:w="620"/>
                </w:tcPr>
                <w:p>
                  <w:pPr>
                    <w:pStyle w:val="null3"/>
                  </w:pPr>
                  <w:r>
                    <w:rPr>
                      <w:rFonts w:ascii="仿宋_GB2312" w:hAnsi="仿宋_GB2312" w:cs="仿宋_GB2312" w:eastAsia="仿宋_GB2312"/>
                    </w:rPr>
                    <w:t>冻品</w:t>
                  </w:r>
                </w:p>
              </w:tc>
              <w:tc>
                <w:tcPr>
                  <w:tcW w:type="dxa" w:w="620"/>
                </w:tcPr>
                <w:p>
                  <w:pPr>
                    <w:pStyle w:val="null3"/>
                  </w:pPr>
                  <w:r>
                    <w:rPr>
                      <w:rFonts w:ascii="仿宋_GB2312" w:hAnsi="仿宋_GB2312" w:cs="仿宋_GB2312" w:eastAsia="仿宋_GB2312"/>
                    </w:rPr>
                    <w:t>冻品外包装需完整，无破损，无不封口现象，有生产日期。冻品在解冻后，发现质量问题需退货。符合国家绿色批发市场标准，应具备满足交易需要的冷冻贮藏设施</w:t>
                  </w:r>
                </w:p>
              </w:tc>
              <w:tc>
                <w:tcPr>
                  <w:tcW w:type="dxa" w:w="620"/>
                  <w:vMerge/>
                </w:tcPr>
                <w:p/>
              </w:tc>
            </w:tr>
            <w:tr>
              <w:tc>
                <w:tcPr>
                  <w:tcW w:type="dxa" w:w="620"/>
                </w:tcPr>
                <w:p>
                  <w:pPr>
                    <w:pStyle w:val="null3"/>
                  </w:pPr>
                  <w:r>
                    <w:rPr>
                      <w:rFonts w:ascii="仿宋_GB2312" w:hAnsi="仿宋_GB2312" w:cs="仿宋_GB2312" w:eastAsia="仿宋_GB2312"/>
                    </w:rPr>
                    <w:t>调料</w:t>
                  </w:r>
                </w:p>
              </w:tc>
              <w:tc>
                <w:tcPr>
                  <w:tcW w:type="dxa" w:w="620"/>
                </w:tcPr>
                <w:p>
                  <w:pPr>
                    <w:pStyle w:val="null3"/>
                  </w:pPr>
                  <w:r>
                    <w:rPr>
                      <w:rFonts w:ascii="仿宋_GB2312" w:hAnsi="仿宋_GB2312" w:cs="仿宋_GB2312" w:eastAsia="仿宋_GB2312"/>
                    </w:rPr>
                    <w:t>外包装无污物、无泄漏，无胀袋或胖听或鼓盖现象，无变质发霉现象。</w:t>
                  </w:r>
                </w:p>
                <w:p>
                  <w:pPr>
                    <w:pStyle w:val="null3"/>
                  </w:pPr>
                  <w:r>
                    <w:rPr>
                      <w:rFonts w:ascii="仿宋_GB2312" w:hAnsi="仿宋_GB2312" w:cs="仿宋_GB2312" w:eastAsia="仿宋_GB2312"/>
                    </w:rPr>
                    <w:t>色泽正常，具有该品种固有的香味，滋味无异味，油酱均匀的酱体或无结块的粉状固体，封口平整，无破包，夹包，漏包，无污染</w:t>
                  </w:r>
                </w:p>
              </w:tc>
              <w:tc>
                <w:tcPr>
                  <w:tcW w:type="dxa" w:w="620"/>
                  <w:vMerge/>
                </w:tcPr>
                <w:p/>
              </w:tc>
            </w:tr>
            <w:tr>
              <w:tc>
                <w:tcPr>
                  <w:tcW w:type="dxa" w:w="620"/>
                </w:tcPr>
                <w:p>
                  <w:pPr>
                    <w:pStyle w:val="null3"/>
                  </w:pPr>
                  <w:r>
                    <w:rPr>
                      <w:rFonts w:ascii="仿宋_GB2312" w:hAnsi="仿宋_GB2312" w:cs="仿宋_GB2312" w:eastAsia="仿宋_GB2312"/>
                    </w:rPr>
                    <w:t>副食及</w:t>
                  </w:r>
                </w:p>
                <w:p>
                  <w:pPr>
                    <w:pStyle w:val="null3"/>
                  </w:pPr>
                  <w:r>
                    <w:rPr>
                      <w:rFonts w:ascii="仿宋_GB2312" w:hAnsi="仿宋_GB2312" w:cs="仿宋_GB2312" w:eastAsia="仿宋_GB2312"/>
                    </w:rPr>
                    <w:t>其他</w:t>
                  </w:r>
                </w:p>
              </w:tc>
              <w:tc>
                <w:tcPr>
                  <w:tcW w:type="dxa" w:w="620"/>
                </w:tcPr>
                <w:p>
                  <w:pPr>
                    <w:pStyle w:val="null3"/>
                  </w:pPr>
                  <w:r>
                    <w:rPr>
                      <w:rFonts w:ascii="仿宋_GB2312" w:hAnsi="仿宋_GB2312" w:cs="仿宋_GB2312" w:eastAsia="仿宋_GB2312"/>
                    </w:rPr>
                    <w:t>须保证食材干净、不含非食品用化学物质、按统一标准加工、码放整齐、无须二次处理可以直接进行熟加工。</w:t>
                  </w:r>
                </w:p>
              </w:tc>
              <w:tc>
                <w:tcPr>
                  <w:tcW w:type="dxa" w:w="620"/>
                  <w:vMerge/>
                </w:tcPr>
                <w:p/>
              </w:tc>
            </w:tr>
          </w:tbl>
          <w:p>
            <w:pPr>
              <w:pStyle w:val="null3"/>
            </w:pPr>
            <w:r>
              <w:rPr>
                <w:rFonts w:ascii="仿宋_GB2312" w:hAnsi="仿宋_GB2312" w:cs="仿宋_GB2312" w:eastAsia="仿宋_GB2312"/>
              </w:rPr>
              <w:t>（二）包装与质量要求</w:t>
            </w:r>
          </w:p>
          <w:p>
            <w:pPr>
              <w:pStyle w:val="null3"/>
            </w:pPr>
            <w:r>
              <w:rPr>
                <w:rFonts w:ascii="仿宋_GB2312" w:hAnsi="仿宋_GB2312" w:cs="仿宋_GB2312" w:eastAsia="仿宋_GB2312"/>
              </w:rPr>
              <w:t>1、货物包装应完好无破漏，可视的内容物无腐败霉变或影响使用的变型，不存在危及人身、财产安全的不合理危险。</w:t>
            </w:r>
          </w:p>
          <w:p>
            <w:pPr>
              <w:pStyle w:val="null3"/>
            </w:pPr>
            <w:r>
              <w:rPr>
                <w:rFonts w:ascii="仿宋_GB2312" w:hAnsi="仿宋_GB2312" w:cs="仿宋_GB2312" w:eastAsia="仿宋_GB2312"/>
              </w:rPr>
              <w:t>2、食品包装标签应符合《食品安全国家标准预包装食品标签通则》（GB7718-2025）要求，包括食品名称、配料表、净含量、规格、制造商（或）经销者 的名称、地址和联系方式、生产日期和保质期、贮存条件、食品生产许可证编号、产品标准代号等内容。</w:t>
            </w:r>
          </w:p>
          <w:p>
            <w:pPr>
              <w:pStyle w:val="null3"/>
            </w:pPr>
            <w:r>
              <w:rPr>
                <w:rFonts w:ascii="仿宋_GB2312" w:hAnsi="仿宋_GB2312" w:cs="仿宋_GB2312" w:eastAsia="仿宋_GB2312"/>
              </w:rPr>
              <w:t>3、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4、不得提供未经检疫或者检疫不合格的肉类品(含熟制品)、蔬菜制品，对带骨头肉制品按要求切块，须当批次《肉类卫生防疫证明》和蔬菜农药残留检测 报告供采购人随时抽查，抽查发现供应商提供的物资合格证明材料与本批次物资不符时，每次给予1000元处罚。</w:t>
            </w:r>
          </w:p>
          <w:p>
            <w:pPr>
              <w:pStyle w:val="null3"/>
            </w:pPr>
            <w:r>
              <w:rPr>
                <w:rFonts w:ascii="仿宋_GB2312" w:hAnsi="仿宋_GB2312" w:cs="仿宋_GB2312" w:eastAsia="仿宋_GB2312"/>
              </w:rPr>
              <w:t>5、不得提供来历不明、不能提供相应产品标签的散装物品。</w:t>
            </w:r>
          </w:p>
          <w:p>
            <w:pPr>
              <w:pStyle w:val="null3"/>
            </w:pPr>
            <w:r>
              <w:rPr>
                <w:rFonts w:ascii="仿宋_GB2312" w:hAnsi="仿宋_GB2312" w:cs="仿宋_GB2312" w:eastAsia="仿宋_GB2312"/>
              </w:rPr>
              <w:t>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pPr>
              <w:pStyle w:val="null3"/>
            </w:pPr>
            <w:r>
              <w:rPr>
                <w:rFonts w:ascii="仿宋_GB2312" w:hAnsi="仿宋_GB2312" w:cs="仿宋_GB2312" w:eastAsia="仿宋_GB2312"/>
              </w:rPr>
              <w:t>7、供应商提供的物资必须达到国家规定的卫生安全标准，蔬菜、禽蛋、畜禽肉类等食品能够按有相应的质量检疫检验报告供采购人随时抽查，抽查发现供应商提供的报告与本批次物资不符时，采购人按本批物资量合同价值的3倍给予处罚。</w:t>
            </w:r>
          </w:p>
          <w:p>
            <w:pPr>
              <w:pStyle w:val="null3"/>
            </w:pPr>
            <w:r>
              <w:rPr>
                <w:rFonts w:ascii="仿宋_GB2312" w:hAnsi="仿宋_GB2312" w:cs="仿宋_GB2312" w:eastAsia="仿宋_GB2312"/>
              </w:rPr>
              <w:t>8、物资产品在送达采购人指定地点时保质期剩余时间应在三分之二以上。</w:t>
            </w:r>
          </w:p>
          <w:p>
            <w:pPr>
              <w:pStyle w:val="null3"/>
            </w:pPr>
            <w:r>
              <w:rPr>
                <w:rFonts w:ascii="仿宋_GB2312" w:hAnsi="仿宋_GB2312" w:cs="仿宋_GB2312" w:eastAsia="仿宋_GB2312"/>
              </w:rPr>
              <w:t>9、如因供应商提供的物资，因质量等问题而使采购人人员发生食物中毒事件的，供应商将承担相应的法律责任。</w:t>
            </w:r>
          </w:p>
          <w:p>
            <w:pPr>
              <w:pStyle w:val="null3"/>
            </w:pPr>
            <w:r>
              <w:rPr>
                <w:rFonts w:ascii="仿宋_GB2312" w:hAnsi="仿宋_GB2312" w:cs="仿宋_GB2312" w:eastAsia="仿宋_GB2312"/>
              </w:rPr>
              <w:t>10、供应商配送的食品应无毒、无害，具有完好的形、色、香、味等性状，并符合质量要求。</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食材运输要求</w:t>
            </w:r>
          </w:p>
        </w:tc>
        <w:tc>
          <w:tcPr>
            <w:tcW w:type="dxa" w:w="2076"/>
          </w:tcPr>
          <w:p>
            <w:pPr>
              <w:pStyle w:val="null3"/>
              <w:ind w:firstLine="420"/>
              <w:jc w:val="both"/>
            </w:pPr>
            <w:r>
              <w:rPr>
                <w:rFonts w:ascii="仿宋_GB2312" w:hAnsi="仿宋_GB2312" w:cs="仿宋_GB2312" w:eastAsia="仿宋_GB2312"/>
              </w:rPr>
              <w:t>食材在运输时，其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1、原材料配送</w:t>
            </w:r>
          </w:p>
          <w:p>
            <w:pPr>
              <w:pStyle w:val="null3"/>
            </w:pPr>
            <w:r>
              <w:rPr>
                <w:rFonts w:ascii="仿宋_GB2312" w:hAnsi="仿宋_GB2312" w:cs="仿宋_GB2312" w:eastAsia="仿宋_GB2312"/>
              </w:rPr>
              <w:t>（1）蔬菜类每日配送，当日配送种类与数量以前一天采购人书面（传真或邮件）菜单为准，采购人根据需求开出每日菜单的品种及数量，供应商须在当日内做出响应，如有某些菜品出现市场断档，当日及时告知采购人，以便采购人做出必要调整，供应商保证当日6点前将各类蔬菜配送至采购人指定地点。</w:t>
            </w:r>
          </w:p>
          <w:p>
            <w:pPr>
              <w:pStyle w:val="null3"/>
            </w:pPr>
            <w:r>
              <w:rPr>
                <w:rFonts w:ascii="仿宋_GB2312" w:hAnsi="仿宋_GB2312" w:cs="仿宋_GB2312" w:eastAsia="仿宋_GB2312"/>
              </w:rPr>
              <w:t>（2）米、面、油一周一次配送，配送种类及数量以采购人提前书面（传真或邮件）单为准，采购人根据米、面、油一周的需求总量在每周四向供应商发出配送清单，供应商保证每周五下午3点前米、面、油配送至采购人指定地点。</w:t>
            </w:r>
          </w:p>
          <w:p>
            <w:pPr>
              <w:pStyle w:val="null3"/>
            </w:pPr>
            <w:r>
              <w:rPr>
                <w:rFonts w:ascii="仿宋_GB2312" w:hAnsi="仿宋_GB2312" w:cs="仿宋_GB2312" w:eastAsia="仿宋_GB2312"/>
              </w:rPr>
              <w:t>（3）肉禽蛋类、水产类、水果、奶及奶制品由采购人根据菜谱需求，提前书面（传真或邮件）告知供应商肉禽蛋类、水产类、水果、奶及奶制品需求计划，供应商须在当日做出响应，如有某些菜品出现市场断档，当日及时告知采购人，以便采购人做出必要调整，供应商根据菜谱上的每日需求，当天配送。</w:t>
            </w:r>
          </w:p>
          <w:p>
            <w:pPr>
              <w:pStyle w:val="null3"/>
            </w:pPr>
            <w:r>
              <w:rPr>
                <w:rFonts w:ascii="仿宋_GB2312" w:hAnsi="仿宋_GB2312" w:cs="仿宋_GB2312" w:eastAsia="仿宋_GB2312"/>
              </w:rPr>
              <w:t>（4）干货、调味品类由采购人根据菜谱需求，提前书面（传真或邮件）告知供应商，供应商须在2日内书面（传真或邮件）告知采购人准备情况，每周根据需要配送当周产品。</w:t>
            </w:r>
          </w:p>
          <w:p>
            <w:pPr>
              <w:pStyle w:val="null3"/>
            </w:pPr>
            <w:r>
              <w:rPr>
                <w:rFonts w:ascii="仿宋_GB2312" w:hAnsi="仿宋_GB2312" w:cs="仿宋_GB2312" w:eastAsia="仿宋_GB2312"/>
              </w:rPr>
              <w:t>注：如遇采购人所属单位出现紧急任务或加班备勤等突发状况时，供应商必须在第一时间内将食品原材料配送到位。</w:t>
            </w:r>
          </w:p>
          <w:p>
            <w:pPr>
              <w:pStyle w:val="null3"/>
            </w:pPr>
            <w:r>
              <w:rPr>
                <w:rFonts w:ascii="仿宋_GB2312" w:hAnsi="仿宋_GB2312" w:cs="仿宋_GB2312" w:eastAsia="仿宋_GB2312"/>
              </w:rPr>
              <w:t>2、其他配送要求</w:t>
            </w:r>
          </w:p>
          <w:p>
            <w:pPr>
              <w:pStyle w:val="null3"/>
            </w:pPr>
            <w:r>
              <w:rPr>
                <w:rFonts w:ascii="仿宋_GB2312" w:hAnsi="仿宋_GB2312" w:cs="仿宋_GB2312" w:eastAsia="仿宋_GB2312"/>
              </w:rPr>
              <w:t>（1）须有冷链配送服务，鲜活物品保证在送达指定地点后依旧新鲜。</w:t>
            </w:r>
          </w:p>
          <w:p>
            <w:pPr>
              <w:pStyle w:val="null3"/>
            </w:pPr>
            <w:r>
              <w:rPr>
                <w:rFonts w:ascii="仿宋_GB2312" w:hAnsi="仿宋_GB2312" w:cs="仿宋_GB2312" w:eastAsia="仿宋_GB2312"/>
              </w:rPr>
              <w:t>（2）成交供应商将货物按要求保质保量送到采购人指定地点，并提供本批次货物的货物清单（含货物种类、数量、价格等）、果蔬农残检测报告、动物检疫合格证明和肉品品质检验合格证。</w:t>
            </w:r>
          </w:p>
          <w:p>
            <w:pPr>
              <w:pStyle w:val="null3"/>
            </w:pPr>
            <w:r>
              <w:rPr>
                <w:rFonts w:ascii="仿宋_GB2312" w:hAnsi="仿宋_GB2312" w:cs="仿宋_GB2312" w:eastAsia="仿宋_GB2312"/>
              </w:rPr>
              <w:t>（3）成交供应商提供的产品若出现不合格产品或在运输途中出现破损的，应在接到采购人通知后及时响应并进行处理。</w:t>
            </w:r>
          </w:p>
          <w:p>
            <w:pPr>
              <w:pStyle w:val="null3"/>
            </w:pPr>
            <w:r>
              <w:rPr>
                <w:rFonts w:ascii="仿宋_GB2312" w:hAnsi="仿宋_GB2312" w:cs="仿宋_GB2312" w:eastAsia="仿宋_GB2312"/>
              </w:rPr>
              <w:t>（4）成交供应商必须将所报项目的服务人员在采购人相关科室备案，保证采购人在有供货需求时能顺利联系到服务人员。</w:t>
            </w:r>
          </w:p>
          <w:p>
            <w:pPr>
              <w:pStyle w:val="null3"/>
            </w:pPr>
            <w:r>
              <w:rPr>
                <w:rFonts w:ascii="仿宋_GB2312" w:hAnsi="仿宋_GB2312" w:cs="仿宋_GB2312" w:eastAsia="仿宋_GB2312"/>
              </w:rPr>
              <w:t>（5）成交供应商提供的产品必须是通过正规渠道采购，若发现成交供应商提供的产品属于假货，采购人有权进行处罚并终止合同。</w:t>
            </w:r>
          </w:p>
          <w:p>
            <w:pPr>
              <w:pStyle w:val="null3"/>
            </w:pPr>
            <w:r>
              <w:rPr>
                <w:rFonts w:ascii="仿宋_GB2312" w:hAnsi="仿宋_GB2312" w:cs="仿宋_GB2312" w:eastAsia="仿宋_GB2312"/>
              </w:rPr>
              <w:t>（6）成交供应商需提供合法有效的营业执照，食品经营许可证，西安市食用农产品重点品种经营备案证。</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询价标准</w:t>
            </w:r>
          </w:p>
        </w:tc>
        <w:tc>
          <w:tcPr>
            <w:tcW w:type="dxa" w:w="2076"/>
          </w:tcPr>
          <w:p>
            <w:pPr>
              <w:pStyle w:val="null3"/>
              <w:ind w:firstLine="420"/>
              <w:jc w:val="both"/>
            </w:pPr>
            <w:r>
              <w:rPr>
                <w:rFonts w:ascii="仿宋_GB2312" w:hAnsi="仿宋_GB2312" w:cs="仿宋_GB2312" w:eastAsia="仿宋_GB2312"/>
              </w:rPr>
              <w:t>1、询价周期：食品供应按季节随行就市，其中配送蔬菜、水果、肉蛋禽、水产的价格，供应商每周根据市场调研，得出一个市场价作为货物价款，报采购人审核确认后采购；配送米、面、油、干货、调料、杂粮等原材料每月根据市场调研，得出一个市场价作为货物价款，报采购人审核确认后采购。</w:t>
            </w:r>
          </w:p>
          <w:p>
            <w:pPr>
              <w:pStyle w:val="null3"/>
            </w:pPr>
            <w:r>
              <w:rPr>
                <w:rFonts w:ascii="仿宋_GB2312" w:hAnsi="仿宋_GB2312" w:cs="仿宋_GB2312" w:eastAsia="仿宋_GB2312"/>
              </w:rPr>
              <w:t>2、询价依据：根据供应商询价的市场（一家或多家大型超市）询价价格与采购人询价的市场 （一家或多家大型超市）价格协商确定结算价格。（若双方对对方的价格有所质疑， 可委派人员重新对有异议的价格进行核实。）该价格为本询价周期的单价。</w:t>
            </w:r>
          </w:p>
          <w:p>
            <w:pPr>
              <w:pStyle w:val="null3"/>
            </w:pPr>
            <w:r>
              <w:rPr>
                <w:rFonts w:ascii="仿宋_GB2312" w:hAnsi="仿宋_GB2312" w:cs="仿宋_GB2312" w:eastAsia="仿宋_GB2312"/>
              </w:rPr>
              <w:t>注：每次协商确定的询价结果作为本次询价周期内的结算依据。</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商务要求</w:t>
            </w:r>
          </w:p>
        </w:tc>
        <w:tc>
          <w:tcPr>
            <w:tcW w:type="dxa" w:w="2076"/>
          </w:tcPr>
          <w:p>
            <w:pPr>
              <w:pStyle w:val="null3"/>
              <w:ind w:firstLine="420"/>
              <w:jc w:val="left"/>
            </w:pPr>
            <w:r>
              <w:rPr>
                <w:rFonts w:ascii="仿宋_GB2312" w:hAnsi="仿宋_GB2312" w:cs="仿宋_GB2312" w:eastAsia="仿宋_GB2312"/>
              </w:rPr>
              <w:t>1、服务期：自合同签订之日起1年。</w:t>
            </w:r>
          </w:p>
          <w:p>
            <w:pPr>
              <w:pStyle w:val="null3"/>
            </w:pPr>
            <w:r>
              <w:rPr>
                <w:rFonts w:ascii="仿宋_GB2312" w:hAnsi="仿宋_GB2312" w:cs="仿宋_GB2312" w:eastAsia="仿宋_GB2312"/>
              </w:rPr>
              <w:t>2、服务地点：采购人指定地点。</w:t>
            </w:r>
          </w:p>
          <w:p>
            <w:pPr>
              <w:pStyle w:val="null3"/>
            </w:pPr>
            <w:r>
              <w:rPr>
                <w:rFonts w:ascii="仿宋_GB2312" w:hAnsi="仿宋_GB2312" w:cs="仿宋_GB2312" w:eastAsia="仿宋_GB2312"/>
              </w:rPr>
              <w:t>3、质量标准：食品质量按照《中华人民共和国食品安全法》、《中华人民共和国产品质量法》、《中华人民共和国家农产品质量安全法》保证食品质量。提供的食品必须符合上述法律法规的规定或国家或行业现行规定的相关标准。</w:t>
            </w:r>
          </w:p>
          <w:p>
            <w:pPr>
              <w:pStyle w:val="null3"/>
            </w:pPr>
            <w:r>
              <w:rPr>
                <w:rFonts w:ascii="仿宋_GB2312" w:hAnsi="仿宋_GB2312" w:cs="仿宋_GB2312" w:eastAsia="仿宋_GB2312"/>
              </w:rPr>
              <w:t>验收：符合国家和行业制定的相应的标准和规范；原材料验收由采购单位业务管理方、供应方、食堂使用方，三方现场检验，对供应产品的质量无异议数量准确无误后，三方签字，各自留存。</w:t>
            </w:r>
          </w:p>
          <w:p>
            <w:pPr>
              <w:pStyle w:val="null3"/>
            </w:pPr>
            <w:r>
              <w:rPr>
                <w:rFonts w:ascii="仿宋_GB2312" w:hAnsi="仿宋_GB2312" w:cs="仿宋_GB2312" w:eastAsia="仿宋_GB2312"/>
              </w:rPr>
              <w:t>4、付款方式：合同签订后，在项目服务期内，据实结算，按月支付；在服务期内该年度年终时，采购人可向供应商预付费用，具体预付金额双方协商确定。</w:t>
            </w:r>
          </w:p>
          <w:p>
            <w:pPr>
              <w:pStyle w:val="null3"/>
            </w:pPr>
            <w:r>
              <w:rPr>
                <w:rFonts w:ascii="仿宋_GB2312" w:hAnsi="仿宋_GB2312" w:cs="仿宋_GB2312" w:eastAsia="仿宋_GB2312"/>
              </w:rPr>
              <w:t>5、其他商务要求：根据《西安市财政局转发省财政厅关于组织地方预算单位做好2025 年政府采购脱贫地区农副产品工作的通知》（市财函〔2025〕142号）要求，各级预算单位应预留项目采购总额的15%（不低于）用于“832平台”采购农副产品；结合本项目实际情况，成交供应商应承诺预留不小于本项目预算金额的15%（即111118.00元）用于“832平台”农副产品采购，届时需提供相关证明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符合国家和行业制定的相应的标准和规范；原材料验收由采购单位业务管理方、供应方、食堂使用方，三方现场检验，对供应产品的质量无异议数量准确无误后，三方签字，各自留存。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合同签订后第2个月（供货满1月后次月支付上月货款）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合同签订后第3个月（供货满2月后次月支付上月货款）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合同签订后第4个月（供货满3月后次月支付上月货款）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合同签订后第5个月（供货满4月后次月支付上月货款）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合同签订后第6个月（供货满5月后次月支付上月货款）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合同签订后第7个月（供货满6月后次月支付上月货款）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合同签订后第8个月（供货满7月后次月支付上月货款）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在2025年12月15日前，采购人预付5个月食材配送费用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41.90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产品或质量不能满足国家标准和采购人要求的，甲方有权终止合同，甚至对乙方违约行为进行追究。（3）供应商提供的物资必须达到国家规定的卫生安全标准，蔬菜、禽蛋、畜禽肉类等食品能够按有相应的质量检疫检验报告供采购人随时抽查，抽查发现供应商提供的报告与本批次物资不符时，采购人按本批物资量合同价值的3倍给予处罚。（4）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1、磋商报价：本项目预算金额740784元为一年采购预算。本项目报价为暂定报价，结算时按照成交费率结合市场价格和实际供货数量结算。成交费率=暂定总价/预算金额。 2、磋商报价是供应商为完成本项目要求的全部服务内容最终价格的体现，包括人工费、食材费、配送费、车辆费、管理费、采购代理服务费、税金等其他一切相关费用。供应商所报的价格应考虑到可能发生的所有与完成本项目相关服务及履行合同义务有关的一切费用。实际结算价=后期市场询价结果*供货数量*成交费率。 3、供应商所报的价格应考虑到可能发生的所有与完成本项目相关服务及履行合同义务有关的一切费用，任何有选择的报价将不予接受，按无效磋商处理。 4、本项目所属行业为：批发业。根据《工业和信息化部、国家统计局、国家发展和改革委员会、财政部关于印发中小企业划型标准规定的通知》《工信部联企业(2011)300 号)规定的划分标准,从业人员200人以下或营业收入40000万元以下的为中小微型企业。其中，从业人员20人及以上，且营业收入5000万元及以上的为中型企业；从业人员5人及以上，且营业收入1000万元及以上的为小型企业；从业人员5人以下且营业收入1000万元以下的为微型企业。 5、成交供应商在领取成交通知书前，需向采购代理机构提交加盖公章的纸质版响应文件三套，成交供应商应保持响应文件纸质版内容与系统上传内容完全一致，否则将承担一切法律责任。 6、关于进一步做好政采贷工作的通知 （1）“政采贷”业务介绍 政采贷,即政府采购投标人信用融资,是指银行以政府采购投标人信用审和 政府采购信誉为基础,依托政府采购合同，按优于一般企业的贷款程序和利率，直接向申请贷款的投标人发放无财产抵押贷款的一种融资方式。（陕西政府采购投标人信用融资信息服务平台网址为：http://www.ccgp-shaanxi.gov.cn/zcdservice/zcd/shanxi/） （2）“政采贷”流程 （一）有融资需求的投标人可根据陕西省政府采购网公示的银行及其“政采贷”产品,自行选择符合自身情况的“政采贷”银行及其产品,凭中标(成交)通知书向银行提出贷款意向申请。 （二）银行根据投标人的贷款意向申请,及时对投标人开展信用审查以及开设账户等相关工作。 （三）投标人与采购人签订政府采购合同后,向银行提出正式申请。拟用于“政采贷”的政府采购合同,应当在合同中注明贷款银行的名称和账号,并作为本次采购的唯一收款账号。 (四)银行按规定对投标人资格及其提供的政府采购合同等信息进行审查,审查通过后按照公示的服务承诺事项及时放款。 (五)在资金支付时,采购人应当将采购资金支付到政府采购合同注明的贷款银行和账号中,不得支付到政府采购合同约定以外的账号,以保障贷款资金安全回收。 （3）职责要求 （一）各单位要积极推动“政采贷”工作开展，应当在合同签订后2个工作日内将政府采购合同在陕西省政府采购网进行公示，为金融机构核实合同提供信息。对于已融资采购项目，投标人履约完成后，要及时开展履约验收工作，并按照合同约定支付采购资金，不得无故拖延和拒付。 （二）各单位和采购代理机构在组织实施政府采购活动中，应当将“政采贷”业务介绍、陕西政府采购投标人信用融资信息服务平台操作手册和银行联系方式（见附件）在采购文件中载明，并随中标（成交）通知书一并发放。 （三）投标人应当依法参加政府采购活动，公平竞争，诚实守信，严格按照政府采购合同履约，严格按照借款合同偿还债务。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年度或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供应商为生产厂家的须具有《食品生产许可证》及《食品经营许可证》；供应商为代理商的须提供《食品经营许可证》。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供应商承诺书.docx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 ；（2）报价符合唯一性要求； （3）未超出采购预算或最高限价 ；（4）符合《报价表》及《标的清单》的填报要求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完全理解并接受对合格供应商、合格的货物、工程或服务要求，结合磋商文件第三章“磋商项目技术、服务、商务要求”的实质性要求且没有负偏离。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企业内控制度</w:t>
            </w:r>
          </w:p>
        </w:tc>
        <w:tc>
          <w:tcPr>
            <w:tcW w:type="dxa" w:w="2492"/>
          </w:tcPr>
          <w:p>
            <w:pPr>
              <w:pStyle w:val="null3"/>
            </w:pPr>
            <w:r>
              <w:rPr>
                <w:rFonts w:ascii="仿宋_GB2312" w:hAnsi="仿宋_GB2312" w:cs="仿宋_GB2312" w:eastAsia="仿宋_GB2312"/>
              </w:rPr>
              <w:t>供应商提供企业内部管理制度，包含①公司管理规章制度；②台账管理制度；③食品安全管理制度；④安全卫生管理制度；⑤项目档案管理制度。提供齐全的得10分，每缺少一项扣2分，扣完为止。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食品质量控制方案和保证措施</w:t>
            </w:r>
          </w:p>
        </w:tc>
        <w:tc>
          <w:tcPr>
            <w:tcW w:type="dxa" w:w="2492"/>
          </w:tcPr>
          <w:p>
            <w:pPr>
              <w:pStyle w:val="null3"/>
            </w:pPr>
            <w:r>
              <w:rPr>
                <w:rFonts w:ascii="仿宋_GB2312" w:hAnsi="仿宋_GB2312" w:cs="仿宋_GB2312" w:eastAsia="仿宋_GB2312"/>
              </w:rPr>
              <w:t>食品质量控制方案和保证措施，包括但不限于原料来源、生产加工环节、 验收保管信息收集处理、产品检验及食品安全若未达标或未按时按量配送等问题的保障措施和处罚办法等。食品质量控制方案和保证措施科学、合理、全面、详实、可行计10分；食品质量控制方案和保证措施较科学、合理，满足项目要求计7分；食品质量控制方案和保证措施基本满足项目要求，可行较差计4分；食品质量控制方案和保证措施不满足项目要求，有严重缺陷，可行差计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配送组织设备及方案</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等；提供配送用厢式货车及冷链车（提供相关证明材料包括但不限于行驶证、购车发票、租赁协议等）。供货组织安排详细、配送车辆、配送人员等具体方案详实、可靠计10分；供货组织安排符合采购人要求，配送车辆、配送人员等具体方案内容完整计7分；供货组织安排基本满足采购人要求，配送车辆、配送人员等具体方案基本满足采购人要求计4分；供货组织安排混乱，配送车辆、配送人员等具体方案有严重缺陷，不利于项目实施计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本项目各岗位及人员的配置，岗位职责，且服务人员具有从业工作经验， 对人员的年龄、文化水平、职业经历等要求有详细的描述，相关配送人员须附有健康证，车辆驾驶人员须附有驾驶证。人员配置齐全，且描述内容详细、全面计8分；人员配置较为齐全，描述内容符合采购人需求计5分；人员配置基本齐全，且提供基本人员计3分；人员配置欠缺，描述内容不全面计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项目团队人员清单.docx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食品原材料仓储能力</w:t>
            </w:r>
          </w:p>
        </w:tc>
        <w:tc>
          <w:tcPr>
            <w:tcW w:type="dxa" w:w="2492"/>
          </w:tcPr>
          <w:p>
            <w:pPr>
              <w:pStyle w:val="null3"/>
            </w:pPr>
            <w:r>
              <w:rPr>
                <w:rFonts w:ascii="仿宋_GB2312" w:hAnsi="仿宋_GB2312" w:cs="仿宋_GB2312" w:eastAsia="仿宋_GB2312"/>
              </w:rPr>
              <w:t>食品原材料仓储能力满足本项目需求，包括但不限于配送车间、保鲜仓库、冷藏仓库等仓储面积、仓储设备、各种设施条件等，提供库房合同和仓储设备证明材料等，附场地彩图。 食品原材料仓储能力满足本项目需求，证明材料齐全、详实、完整计8分；食品原材料仓储能力基本满足本项目需求，证明材料完善计5分；食品原材料仓储能力不满足本项目需求，证明材料缺失计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产品货源渠道正规、供应充足，产地及制造商明确，产品销售记录可追溯。产品（大米、小麦粉、食用油）制造商直接参与本项目的，须提供相关证明材料；经销商参与本项目的，须提供制造商出具的针对本项目的授权书。每项投标产品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售后服务条款具体、可行并有详细的售后服务措施。根据供应商的售后服务能力及服务方案、退换货方案、售后响应时间进行赋分。售后服务措施及方案全面详实、具体、可行，与项目需求内容高度匹配计10分；售后服务措施及方案较具体全面、合理，符合项目内容要求计7分；售后服务措施及方案可行性差，基本符合项目内容要求及4分；售后服务措施及方案不完善，有严重缺陷计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针对采购人临时采购需求、恶劣天气影响、重大节假日或活动等特殊情况等制定应急处理方案）。应急配送方案科学、合理、可行、应急响应及时计10分；应急配送方案较科学、可行计7分；应急配送方案基本完善，可行性差计4分；应急配送方案不完善、有严重缺陷计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运输途中产生的破损、胀袋等有无补救措施及服务承诺，补救措施和服务承诺全面，其可行性、可靠性，完全满足采购需求计10分，补救措施和服务承诺基本满足计7分；补救措施和服务承诺不能较好满足的计4分；补救措施和服务承诺不符合项目要求，有严重缺陷的计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提供2022年1月1日以来类似项目的业绩证明文件（以类似项目供货合同为准），评审时以业绩证明文件复印件为计分依据，每出具一份业绩证明文件得2分，满分8分。 注：响应文件中的业绩证明文件复印件须加盖公章。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详见附件：类似项目业绩汇总表.docx</w:t>
      </w:r>
    </w:p>
    <w:p>
      <w:pPr>
        <w:pStyle w:val="null3"/>
        <w:ind w:firstLine="960"/>
      </w:pPr>
      <w:r>
        <w:rPr>
          <w:rFonts w:ascii="仿宋_GB2312" w:hAnsi="仿宋_GB2312" w:cs="仿宋_GB2312" w:eastAsia="仿宋_GB2312"/>
        </w:rPr>
        <w:t>详见附件：项目团队人员清单.docx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