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4C6F8F">
      <w:pPr>
        <w:spacing w:line="360" w:lineRule="auto"/>
        <w:jc w:val="center"/>
        <w:rPr>
          <w:rFonts w:hint="eastAsia" w:cs="仿宋" w:asciiTheme="minorAscii" w:hAnsiTheme="minorAscii"/>
          <w:b/>
          <w:bCs/>
          <w:sz w:val="32"/>
          <w:szCs w:val="32"/>
          <w:lang w:val="en-US" w:eastAsia="zh-CN"/>
        </w:rPr>
      </w:pPr>
      <w:r>
        <w:rPr>
          <w:rFonts w:hint="eastAsia" w:cs="仿宋" w:asciiTheme="minorAscii" w:hAnsiTheme="minorAscii"/>
          <w:b/>
          <w:bCs/>
          <w:sz w:val="32"/>
          <w:szCs w:val="32"/>
          <w:lang w:val="en-US" w:eastAsia="zh-CN"/>
        </w:rPr>
        <w:t>服务内容及服务要求</w:t>
      </w:r>
    </w:p>
    <w:p w14:paraId="2FC8340D">
      <w:pPr>
        <w:spacing w:line="360" w:lineRule="auto"/>
        <w:rPr>
          <w:rFonts w:hint="default" w:cs="仿宋" w:asciiTheme="minorAscii" w:hAnsiTheme="minorAscii" w:eastAsiaTheme="minorEastAsia"/>
          <w:b/>
          <w:bCs/>
          <w:spacing w:val="0"/>
          <w:sz w:val="21"/>
          <w:szCs w:val="21"/>
        </w:rPr>
      </w:pPr>
      <w:r>
        <w:rPr>
          <w:rFonts w:hint="default" w:cs="仿宋" w:asciiTheme="minorAscii" w:hAnsiTheme="minorAscii" w:eastAsiaTheme="minorEastAsia"/>
          <w:b/>
          <w:bCs/>
          <w:spacing w:val="0"/>
          <w:sz w:val="21"/>
          <w:szCs w:val="21"/>
        </w:rPr>
        <w:t>一、项目概况</w:t>
      </w:r>
    </w:p>
    <w:p w14:paraId="315394AF">
      <w:pPr>
        <w:spacing w:line="360" w:lineRule="auto"/>
        <w:ind w:firstLine="420" w:firstLineChars="200"/>
        <w:jc w:val="left"/>
        <w:rPr>
          <w:rFonts w:hint="default" w:cs="仿宋" w:asciiTheme="minorAscii" w:hAnsiTheme="minorAscii" w:eastAsiaTheme="minorEastAsia"/>
          <w:sz w:val="21"/>
          <w:szCs w:val="21"/>
          <w:lang w:eastAsia="zh-CN"/>
        </w:rPr>
      </w:pPr>
      <w:r>
        <w:rPr>
          <w:rFonts w:hint="default" w:cs="仿宋" w:asciiTheme="minorAscii" w:hAnsiTheme="minorAscii" w:eastAsiaTheme="minorEastAsia"/>
          <w:sz w:val="21"/>
          <w:szCs w:val="21"/>
          <w:lang w:val="en-US" w:eastAsia="zh-CN"/>
        </w:rPr>
        <w:t>中心</w:t>
      </w:r>
      <w:r>
        <w:rPr>
          <w:rFonts w:hint="default" w:cs="仿宋" w:asciiTheme="minorAscii" w:hAnsiTheme="minorAscii" w:eastAsiaTheme="minorEastAsia"/>
          <w:sz w:val="21"/>
          <w:szCs w:val="21"/>
        </w:rPr>
        <w:t>办事大厅</w:t>
      </w:r>
      <w:r>
        <w:rPr>
          <w:rFonts w:hint="default" w:cs="仿宋" w:asciiTheme="minorAscii" w:hAnsiTheme="minorAscii" w:eastAsiaTheme="minorEastAsia"/>
          <w:sz w:val="21"/>
          <w:szCs w:val="21"/>
          <w:lang w:val="en-US" w:eastAsia="zh-CN"/>
        </w:rPr>
        <w:t>职工食堂食材配送服务主要为满足办事大厅职工食堂食材的供应，食材供应包含米、面、油，蔬菜、肉类、水产类，蛋、奶制</w:t>
      </w:r>
      <w:bookmarkStart w:id="0" w:name="_GoBack"/>
      <w:bookmarkEnd w:id="0"/>
      <w:r>
        <w:rPr>
          <w:rFonts w:hint="default" w:cs="仿宋" w:asciiTheme="minorAscii" w:hAnsiTheme="minorAscii" w:eastAsiaTheme="minorEastAsia"/>
          <w:sz w:val="21"/>
          <w:szCs w:val="21"/>
          <w:lang w:val="en-US" w:eastAsia="zh-CN"/>
        </w:rPr>
        <w:t>品、水果，豆制品及其他半成品，干货、调料、调味品以及其他日常消耗品等，所配送食材需符合国家食品安全要求；保证职工食堂正常开餐。</w:t>
      </w:r>
    </w:p>
    <w:p w14:paraId="7BD3A2E8">
      <w:pPr>
        <w:spacing w:line="360" w:lineRule="auto"/>
        <w:rPr>
          <w:rFonts w:hint="default" w:cs="仿宋" w:asciiTheme="minorAscii" w:hAnsiTheme="minorAscii" w:eastAsiaTheme="minorEastAsia"/>
          <w:b/>
          <w:bCs/>
          <w:spacing w:val="0"/>
          <w:sz w:val="21"/>
          <w:szCs w:val="21"/>
          <w:highlight w:val="none"/>
          <w:lang w:val="en-US" w:eastAsia="zh-CN"/>
        </w:rPr>
      </w:pPr>
      <w:r>
        <w:rPr>
          <w:rFonts w:hint="default" w:cs="仿宋" w:asciiTheme="minorAscii" w:hAnsiTheme="minorAscii" w:eastAsiaTheme="minorEastAsia"/>
          <w:b/>
          <w:bCs/>
          <w:spacing w:val="0"/>
          <w:sz w:val="21"/>
          <w:szCs w:val="21"/>
          <w:highlight w:val="none"/>
        </w:rPr>
        <w:t>二、</w:t>
      </w:r>
      <w:r>
        <w:rPr>
          <w:rFonts w:hint="default" w:cs="仿宋" w:asciiTheme="minorAscii" w:hAnsiTheme="minorAscii" w:eastAsiaTheme="minorEastAsia"/>
          <w:b/>
          <w:bCs/>
          <w:spacing w:val="0"/>
          <w:sz w:val="21"/>
          <w:szCs w:val="21"/>
          <w:highlight w:val="none"/>
          <w:lang w:val="en-US" w:eastAsia="zh-CN"/>
        </w:rPr>
        <w:t>采购要求</w:t>
      </w:r>
    </w:p>
    <w:p w14:paraId="17124549">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（一）食材具体要求</w:t>
      </w:r>
    </w:p>
    <w:p w14:paraId="0E84BE37">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1、所有食材均须符合《</w:t>
      </w:r>
      <w:r>
        <w:rPr>
          <w:rFonts w:hint="eastAsia" w:cs="仿宋" w:asciiTheme="minorAscii" w:hAnsiTheme="minorAscii"/>
          <w:kern w:val="2"/>
          <w:sz w:val="21"/>
          <w:szCs w:val="21"/>
          <w:lang w:val="en-US" w:eastAsia="zh-CN" w:bidi="ar-SA"/>
        </w:rPr>
        <w:t>中</w:t>
      </w:r>
      <w:r>
        <w:rPr>
          <w:rFonts w:hint="default" w:cs="仿宋" w:asciiTheme="minorAscii" w:hAnsiTheme="minorAscii" w:eastAsiaTheme="minorEastAsia"/>
          <w:kern w:val="2"/>
          <w:sz w:val="21"/>
          <w:szCs w:val="21"/>
          <w:lang w:val="en-US" w:eastAsia="zh-CN" w:bidi="ar-SA"/>
        </w:rPr>
        <w:t>华人民共和国产品质量法》、《中华人民共和国食品安全法》，须具备所配送产品的检测报告或食品检验合格证，且主要食材应选取可靠品牌。</w:t>
      </w:r>
    </w:p>
    <w:p w14:paraId="1E959F7A">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2、小麦粉：大于等于25kg/袋，独立包装，质量符合国家标准(GB/T 1355-2021)“精制粉”标准要求（提供半年内产品检测报告）；便于运输、储存，非转基因小麦粉。</w:t>
      </w:r>
    </w:p>
    <w:p w14:paraId="21160C45">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3、食用油：大于等于16.4L/桶，独立包装，质量符合国家标准（GB1536-2021）“菜籽油”一级或以上标准要求（提供半年内产品检测报告），便于运输、储存，非转基因。</w:t>
      </w:r>
    </w:p>
    <w:p w14:paraId="327A2AA2">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4、大米：大于等于25kg/袋，独立包装，质量符合国家标准（GB/T1354-2018）“粳米”一级或以上标准要求（提供半年内产品检测报告）；便于运输、储存，非转基因大米。</w:t>
      </w:r>
    </w:p>
    <w:p w14:paraId="48152837">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5、蔬菜、禽蛋必须保证新鲜，果蔬必须符合《食品安全国家标准食品中农药最大残留限量》GB2763系列最新标准的食品中农药最大残留限量标准并具有农药残留检验记录；</w:t>
      </w:r>
    </w:p>
    <w:p w14:paraId="4878B707">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6、肉类、冷冻产品必须保证质量，应具有相关动物检验检疫合格证明，供应商应设有固定的经营场所，并具有符合卫生防疫监督部门要求的肉类食材屠宰厂的经营授权书，含水（冰）率符合标准；</w:t>
      </w:r>
    </w:p>
    <w:p w14:paraId="2DF9BF6A">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7、杂粮及调味品要品质好，无霉变、无杂质。定型包装调味品必须保证质量并提供相关证明材料（包含但不限于“SC”食品生产许可证、质量检测报告等）；</w:t>
      </w:r>
    </w:p>
    <w:p w14:paraId="0DDE7AF5">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8、豆制品、乳制品及其他半成品送货当日时间不得超过保质期的 1/3 时长， 提供保证质量的相关证明材料（包含但不限于“SC”食品生产许可证、质量检测报告等）。</w:t>
      </w:r>
    </w:p>
    <w:p w14:paraId="74B201E2">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注：如国家制定新的食品安全标准，即按新标准执行。</w:t>
      </w:r>
    </w:p>
    <w:tbl>
      <w:tblPr>
        <w:tblStyle w:val="5"/>
        <w:tblW w:w="8880" w:type="dxa"/>
        <w:tblInd w:w="-103"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234"/>
        <w:gridCol w:w="6720"/>
        <w:gridCol w:w="926"/>
      </w:tblGrid>
      <w:tr w14:paraId="324149D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23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CBF4514">
            <w:pPr>
              <w:pStyle w:val="7"/>
              <w:spacing w:line="240" w:lineRule="auto"/>
              <w:jc w:val="center"/>
              <w:rPr>
                <w:rFonts w:hint="default" w:asciiTheme="minorAscii" w:hAnsiTheme="minorAscii" w:eastAsiaTheme="minorEastAsia"/>
                <w:sz w:val="21"/>
                <w:szCs w:val="21"/>
              </w:rPr>
            </w:pPr>
            <w:r>
              <w:rPr>
                <w:rFonts w:hint="default" w:cs="仿宋" w:asciiTheme="minorAscii" w:hAnsiTheme="minorAscii" w:eastAsiaTheme="minorEastAsia"/>
                <w:sz w:val="21"/>
                <w:szCs w:val="21"/>
              </w:rPr>
              <w:t>项目</w:t>
            </w:r>
          </w:p>
        </w:tc>
        <w:tc>
          <w:tcPr>
            <w:tcW w:w="672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261AA68">
            <w:pPr>
              <w:pStyle w:val="7"/>
              <w:spacing w:line="240" w:lineRule="auto"/>
              <w:jc w:val="center"/>
              <w:rPr>
                <w:rFonts w:hint="default" w:asciiTheme="minorAscii" w:hAnsiTheme="minorAscii" w:eastAsiaTheme="minorEastAsia"/>
                <w:sz w:val="21"/>
                <w:szCs w:val="21"/>
              </w:rPr>
            </w:pPr>
            <w:r>
              <w:rPr>
                <w:rFonts w:hint="default" w:cs="仿宋" w:asciiTheme="minorAscii" w:hAnsiTheme="minorAscii" w:eastAsiaTheme="minorEastAsia"/>
                <w:sz w:val="21"/>
                <w:szCs w:val="21"/>
              </w:rPr>
              <w:t>质量要求及包装标准</w:t>
            </w:r>
          </w:p>
        </w:tc>
        <w:tc>
          <w:tcPr>
            <w:tcW w:w="926"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BB87752">
            <w:pPr>
              <w:pStyle w:val="7"/>
              <w:spacing w:line="240" w:lineRule="auto"/>
              <w:jc w:val="center"/>
              <w:rPr>
                <w:rFonts w:hint="default" w:asciiTheme="minorAscii" w:hAnsiTheme="minorAscii" w:eastAsiaTheme="minorEastAsia"/>
                <w:sz w:val="21"/>
                <w:szCs w:val="21"/>
              </w:rPr>
            </w:pPr>
            <w:r>
              <w:rPr>
                <w:rFonts w:hint="default" w:cs="仿宋" w:asciiTheme="minorAscii" w:hAnsiTheme="minorAscii" w:eastAsiaTheme="minorEastAsia"/>
                <w:sz w:val="21"/>
                <w:szCs w:val="21"/>
              </w:rPr>
              <w:t>备注</w:t>
            </w:r>
          </w:p>
        </w:tc>
      </w:tr>
      <w:tr w14:paraId="42991E7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3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7292FD3C">
            <w:pPr>
              <w:pStyle w:val="7"/>
              <w:spacing w:line="240" w:lineRule="auto"/>
              <w:jc w:val="center"/>
              <w:rPr>
                <w:rFonts w:hint="default" w:asciiTheme="minorAscii" w:hAnsiTheme="minorAscii" w:eastAsiaTheme="minorEastAsia"/>
                <w:sz w:val="21"/>
                <w:szCs w:val="21"/>
              </w:rPr>
            </w:pPr>
            <w:r>
              <w:rPr>
                <w:rFonts w:hint="default" w:cs="仿宋" w:asciiTheme="minorAscii" w:hAnsiTheme="minorAscii" w:eastAsiaTheme="minorEastAsia"/>
                <w:sz w:val="21"/>
                <w:szCs w:val="21"/>
              </w:rPr>
              <w:t>肉禽类</w:t>
            </w:r>
          </w:p>
        </w:tc>
        <w:tc>
          <w:tcPr>
            <w:tcW w:w="672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7F70365">
            <w:pPr>
              <w:pStyle w:val="7"/>
              <w:spacing w:line="240" w:lineRule="auto"/>
              <w:jc w:val="both"/>
              <w:rPr>
                <w:rFonts w:hint="default" w:asciiTheme="minorAscii" w:hAnsiTheme="minorAscii" w:eastAsiaTheme="minorEastAsia"/>
                <w:sz w:val="21"/>
                <w:szCs w:val="21"/>
              </w:rPr>
            </w:pPr>
            <w:r>
              <w:rPr>
                <w:rFonts w:hint="default" w:cs="仿宋" w:asciiTheme="minorAscii" w:hAnsiTheme="minorAscii" w:eastAsiaTheme="minorEastAsia"/>
                <w:sz w:val="21"/>
                <w:szCs w:val="21"/>
              </w:rPr>
              <w:t>肉身必须盖有卫生检疫章，须出具加盖国家或地方政府监督所检疫章的动物检疫证明。肉品须表皮洁净、膘厚适中、色泽鲜亮、纹理清晰、肉质细腻、无异味、去骨、无毛、按压无水迹。</w:t>
            </w:r>
          </w:p>
        </w:tc>
        <w:tc>
          <w:tcPr>
            <w:tcW w:w="926"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45D7921">
            <w:pPr>
              <w:pStyle w:val="7"/>
              <w:spacing w:line="240" w:lineRule="auto"/>
              <w:jc w:val="center"/>
              <w:rPr>
                <w:rFonts w:hint="default" w:asciiTheme="minorAscii" w:hAnsiTheme="minorAscii" w:eastAsiaTheme="minorEastAsia"/>
                <w:sz w:val="21"/>
                <w:szCs w:val="21"/>
              </w:rPr>
            </w:pPr>
            <w:r>
              <w:rPr>
                <w:rFonts w:hint="default" w:cs="仿宋" w:asciiTheme="minorAscii" w:hAnsiTheme="minorAscii" w:eastAsiaTheme="minorEastAsia"/>
                <w:sz w:val="21"/>
                <w:szCs w:val="21"/>
              </w:rPr>
              <w:t xml:space="preserve"> </w:t>
            </w:r>
          </w:p>
          <w:p w14:paraId="3D516329">
            <w:pPr>
              <w:pStyle w:val="7"/>
              <w:spacing w:line="240" w:lineRule="auto"/>
              <w:ind w:left="225"/>
              <w:jc w:val="left"/>
              <w:rPr>
                <w:rFonts w:hint="default" w:asciiTheme="minorAscii" w:hAnsiTheme="minorAscii" w:eastAsiaTheme="minorEastAsia"/>
                <w:sz w:val="21"/>
                <w:szCs w:val="21"/>
              </w:rPr>
            </w:pPr>
            <w:r>
              <w:rPr>
                <w:rFonts w:hint="default" w:asciiTheme="minorAscii" w:hAnsiTheme="minorAscii" w:eastAsiaTheme="minorEastAsia"/>
                <w:sz w:val="21"/>
                <w:szCs w:val="21"/>
              </w:rPr>
              <w:t xml:space="preserve"> </w:t>
            </w:r>
          </w:p>
          <w:p w14:paraId="77CF78CD">
            <w:pPr>
              <w:pStyle w:val="7"/>
              <w:spacing w:line="240" w:lineRule="auto"/>
              <w:ind w:left="225"/>
              <w:jc w:val="left"/>
              <w:rPr>
                <w:rFonts w:hint="default" w:asciiTheme="minorAscii" w:hAnsiTheme="minorAscii" w:eastAsiaTheme="minorEastAsia"/>
                <w:sz w:val="21"/>
                <w:szCs w:val="21"/>
              </w:rPr>
            </w:pPr>
            <w:r>
              <w:rPr>
                <w:rFonts w:hint="default" w:asciiTheme="minorAscii" w:hAnsiTheme="minorAscii" w:eastAsiaTheme="minorEastAsia"/>
                <w:sz w:val="21"/>
                <w:szCs w:val="21"/>
              </w:rPr>
              <w:t xml:space="preserve"> </w:t>
            </w:r>
          </w:p>
          <w:p w14:paraId="61C8C812">
            <w:pPr>
              <w:pStyle w:val="7"/>
              <w:spacing w:line="240" w:lineRule="auto"/>
              <w:ind w:left="225"/>
              <w:jc w:val="left"/>
              <w:rPr>
                <w:rFonts w:hint="default" w:asciiTheme="minorAscii" w:hAnsiTheme="minorAscii" w:eastAsiaTheme="minorEastAsia"/>
                <w:sz w:val="21"/>
                <w:szCs w:val="21"/>
              </w:rPr>
            </w:pPr>
            <w:r>
              <w:rPr>
                <w:rFonts w:hint="default" w:asciiTheme="minorAscii" w:hAnsiTheme="minorAscii" w:eastAsiaTheme="minorEastAsia"/>
                <w:sz w:val="21"/>
                <w:szCs w:val="21"/>
              </w:rPr>
              <w:t xml:space="preserve"> </w:t>
            </w:r>
          </w:p>
          <w:p w14:paraId="70AF8252">
            <w:pPr>
              <w:pStyle w:val="7"/>
              <w:spacing w:line="240" w:lineRule="auto"/>
              <w:ind w:left="225"/>
              <w:jc w:val="left"/>
              <w:rPr>
                <w:rFonts w:hint="default" w:asciiTheme="minorAscii" w:hAnsiTheme="minorAscii" w:eastAsiaTheme="minorEastAsia"/>
                <w:sz w:val="21"/>
                <w:szCs w:val="21"/>
              </w:rPr>
            </w:pPr>
            <w:r>
              <w:rPr>
                <w:rFonts w:hint="default" w:asciiTheme="minorAscii" w:hAnsiTheme="minorAscii" w:eastAsiaTheme="minorEastAsia"/>
                <w:sz w:val="21"/>
                <w:szCs w:val="21"/>
              </w:rPr>
              <w:t xml:space="preserve"> </w:t>
            </w:r>
          </w:p>
          <w:p w14:paraId="4E598F8D">
            <w:pPr>
              <w:pStyle w:val="7"/>
              <w:spacing w:line="240" w:lineRule="auto"/>
              <w:ind w:left="225"/>
              <w:jc w:val="left"/>
              <w:rPr>
                <w:rFonts w:hint="default" w:asciiTheme="minorAscii" w:hAnsiTheme="minorAscii" w:eastAsiaTheme="minorEastAsia"/>
                <w:sz w:val="21"/>
                <w:szCs w:val="21"/>
              </w:rPr>
            </w:pPr>
            <w:r>
              <w:rPr>
                <w:rFonts w:hint="default" w:asciiTheme="minorAscii" w:hAnsiTheme="minorAscii" w:eastAsiaTheme="minorEastAsia"/>
                <w:sz w:val="21"/>
                <w:szCs w:val="21"/>
              </w:rPr>
              <w:t xml:space="preserve"> </w:t>
            </w:r>
          </w:p>
          <w:p w14:paraId="413BBDB1">
            <w:pPr>
              <w:pStyle w:val="7"/>
              <w:spacing w:line="240" w:lineRule="auto"/>
              <w:ind w:left="225"/>
              <w:jc w:val="left"/>
              <w:rPr>
                <w:rFonts w:hint="default" w:asciiTheme="minorAscii" w:hAnsiTheme="minorAscii" w:eastAsiaTheme="minorEastAsia"/>
                <w:sz w:val="21"/>
                <w:szCs w:val="21"/>
              </w:rPr>
            </w:pPr>
            <w:r>
              <w:rPr>
                <w:rFonts w:hint="default" w:asciiTheme="minorAscii" w:hAnsiTheme="minorAscii" w:eastAsiaTheme="minorEastAsia"/>
                <w:sz w:val="21"/>
                <w:szCs w:val="21"/>
              </w:rPr>
              <w:t xml:space="preserve"> </w:t>
            </w:r>
          </w:p>
          <w:p w14:paraId="06A8BC31">
            <w:pPr>
              <w:pStyle w:val="7"/>
              <w:spacing w:line="240" w:lineRule="auto"/>
              <w:ind w:left="225"/>
              <w:jc w:val="left"/>
              <w:rPr>
                <w:rFonts w:hint="default" w:asciiTheme="minorAscii" w:hAnsiTheme="minorAscii" w:eastAsiaTheme="minorEastAsia"/>
                <w:sz w:val="21"/>
                <w:szCs w:val="21"/>
              </w:rPr>
            </w:pPr>
            <w:r>
              <w:rPr>
                <w:rFonts w:hint="default" w:asciiTheme="minorAscii" w:hAnsiTheme="minorAscii" w:eastAsiaTheme="minorEastAsia"/>
                <w:sz w:val="21"/>
                <w:szCs w:val="21"/>
              </w:rPr>
              <w:t xml:space="preserve"> </w:t>
            </w:r>
          </w:p>
          <w:p w14:paraId="6D570B3C">
            <w:pPr>
              <w:pStyle w:val="7"/>
              <w:spacing w:line="240" w:lineRule="auto"/>
              <w:ind w:left="225"/>
              <w:jc w:val="left"/>
              <w:rPr>
                <w:rFonts w:hint="default" w:asciiTheme="minorAscii" w:hAnsiTheme="minorAscii" w:eastAsiaTheme="minorEastAsia"/>
                <w:sz w:val="21"/>
                <w:szCs w:val="21"/>
              </w:rPr>
            </w:pPr>
            <w:r>
              <w:rPr>
                <w:rFonts w:hint="default" w:asciiTheme="minorAscii" w:hAnsiTheme="minorAscii" w:eastAsiaTheme="minorEastAsia"/>
                <w:sz w:val="21"/>
                <w:szCs w:val="21"/>
              </w:rPr>
              <w:t xml:space="preserve"> </w:t>
            </w:r>
          </w:p>
          <w:p w14:paraId="4054C0DE">
            <w:pPr>
              <w:pStyle w:val="7"/>
              <w:spacing w:line="240" w:lineRule="auto"/>
              <w:ind w:left="225"/>
              <w:jc w:val="left"/>
              <w:rPr>
                <w:rFonts w:hint="default" w:asciiTheme="minorAscii" w:hAnsiTheme="minorAscii" w:eastAsiaTheme="minorEastAsia"/>
                <w:sz w:val="21"/>
                <w:szCs w:val="21"/>
              </w:rPr>
            </w:pPr>
            <w:r>
              <w:rPr>
                <w:rFonts w:hint="default" w:asciiTheme="minorAscii" w:hAnsiTheme="minorAscii" w:eastAsiaTheme="minorEastAsia"/>
                <w:sz w:val="21"/>
                <w:szCs w:val="21"/>
              </w:rPr>
              <w:t xml:space="preserve"> </w:t>
            </w:r>
          </w:p>
          <w:p w14:paraId="7D626157">
            <w:pPr>
              <w:pStyle w:val="7"/>
              <w:spacing w:line="240" w:lineRule="auto"/>
              <w:ind w:left="225"/>
              <w:jc w:val="left"/>
              <w:rPr>
                <w:rFonts w:hint="default" w:asciiTheme="minorAscii" w:hAnsiTheme="minorAscii" w:eastAsiaTheme="minorEastAsia"/>
                <w:sz w:val="21"/>
                <w:szCs w:val="21"/>
              </w:rPr>
            </w:pPr>
            <w:r>
              <w:rPr>
                <w:rFonts w:hint="default" w:asciiTheme="minorAscii" w:hAnsiTheme="minorAscii" w:eastAsiaTheme="minorEastAsia"/>
                <w:sz w:val="21"/>
                <w:szCs w:val="21"/>
              </w:rPr>
              <w:t xml:space="preserve"> </w:t>
            </w:r>
          </w:p>
          <w:p w14:paraId="16FC8929">
            <w:pPr>
              <w:pStyle w:val="7"/>
              <w:spacing w:line="240" w:lineRule="auto"/>
              <w:ind w:left="225"/>
              <w:jc w:val="left"/>
              <w:rPr>
                <w:rFonts w:hint="default" w:asciiTheme="minorAscii" w:hAnsiTheme="minorAscii" w:eastAsiaTheme="minorEastAsia"/>
                <w:sz w:val="21"/>
                <w:szCs w:val="21"/>
              </w:rPr>
            </w:pPr>
            <w:r>
              <w:rPr>
                <w:rFonts w:hint="default" w:asciiTheme="minorAscii" w:hAnsiTheme="minorAscii" w:eastAsiaTheme="minorEastAsia"/>
                <w:sz w:val="21"/>
                <w:szCs w:val="21"/>
              </w:rPr>
              <w:t xml:space="preserve"> </w:t>
            </w:r>
          </w:p>
          <w:p w14:paraId="5E4AB6E7">
            <w:pPr>
              <w:pStyle w:val="7"/>
              <w:spacing w:line="240" w:lineRule="auto"/>
              <w:ind w:left="225"/>
              <w:jc w:val="left"/>
              <w:rPr>
                <w:rFonts w:hint="default" w:asciiTheme="minorAscii" w:hAnsiTheme="minorAscii" w:eastAsiaTheme="minorEastAsia"/>
                <w:sz w:val="21"/>
                <w:szCs w:val="21"/>
              </w:rPr>
            </w:pPr>
            <w:r>
              <w:rPr>
                <w:rFonts w:hint="default" w:asciiTheme="minorAscii" w:hAnsiTheme="minorAscii" w:eastAsiaTheme="minorEastAsia"/>
                <w:sz w:val="21"/>
                <w:szCs w:val="21"/>
              </w:rPr>
              <w:t xml:space="preserve"> </w:t>
            </w:r>
          </w:p>
          <w:p w14:paraId="425C7856">
            <w:pPr>
              <w:pStyle w:val="7"/>
              <w:spacing w:line="240" w:lineRule="auto"/>
              <w:ind w:left="225"/>
              <w:jc w:val="left"/>
              <w:rPr>
                <w:rFonts w:hint="default" w:asciiTheme="minorAscii" w:hAnsiTheme="minorAscii" w:eastAsiaTheme="minorEastAsia"/>
                <w:sz w:val="21"/>
                <w:szCs w:val="21"/>
              </w:rPr>
            </w:pPr>
            <w:r>
              <w:rPr>
                <w:rFonts w:hint="default" w:cs="仿宋" w:asciiTheme="minorAscii" w:hAnsiTheme="minorAscii" w:eastAsiaTheme="minorEastAsia"/>
                <w:sz w:val="21"/>
                <w:szCs w:val="21"/>
              </w:rPr>
              <w:t>所有商品必须满足国家和地方相关规定</w:t>
            </w:r>
          </w:p>
        </w:tc>
      </w:tr>
      <w:tr w14:paraId="1CD135D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3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290505A1">
            <w:pPr>
              <w:pStyle w:val="7"/>
              <w:spacing w:line="240" w:lineRule="auto"/>
              <w:jc w:val="center"/>
              <w:rPr>
                <w:rFonts w:hint="default" w:asciiTheme="minorAscii" w:hAnsiTheme="minorAscii" w:eastAsiaTheme="minorEastAsia"/>
                <w:sz w:val="21"/>
                <w:szCs w:val="21"/>
              </w:rPr>
            </w:pPr>
            <w:r>
              <w:rPr>
                <w:rFonts w:hint="default" w:cs="仿宋" w:asciiTheme="minorAscii" w:hAnsiTheme="minorAscii" w:eastAsiaTheme="minorEastAsia"/>
                <w:sz w:val="21"/>
                <w:szCs w:val="21"/>
              </w:rPr>
              <w:t>蔬菜类</w:t>
            </w:r>
          </w:p>
        </w:tc>
        <w:tc>
          <w:tcPr>
            <w:tcW w:w="672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8EE8500">
            <w:pPr>
              <w:pStyle w:val="7"/>
              <w:spacing w:line="240" w:lineRule="auto"/>
              <w:rPr>
                <w:rFonts w:hint="default" w:asciiTheme="minorAscii" w:hAnsiTheme="minorAscii" w:eastAsiaTheme="minorEastAsia"/>
                <w:sz w:val="21"/>
                <w:szCs w:val="21"/>
              </w:rPr>
            </w:pPr>
            <w:r>
              <w:rPr>
                <w:rFonts w:hint="default" w:cs="仿宋" w:asciiTheme="minorAscii" w:hAnsiTheme="minorAscii" w:eastAsiaTheme="minorEastAsia"/>
                <w:sz w:val="21"/>
                <w:szCs w:val="21"/>
              </w:rPr>
              <w:t>当季各类新鲜蔬菜以及大棚种植蔬菜，蔬菜类必须保证无黄叶、枯死叶、无虫、无杂质，须</w:t>
            </w:r>
            <w:r>
              <w:rPr>
                <w:rFonts w:hint="default" w:asciiTheme="minorAscii" w:hAnsiTheme="minorAscii" w:eastAsiaTheme="minorEastAsia"/>
                <w:sz w:val="21"/>
                <w:szCs w:val="21"/>
              </w:rPr>
              <w:t xml:space="preserve"> </w:t>
            </w:r>
            <w:r>
              <w:rPr>
                <w:rFonts w:hint="default" w:cs="仿宋" w:asciiTheme="minorAscii" w:hAnsiTheme="minorAscii" w:eastAsiaTheme="minorEastAsia"/>
                <w:sz w:val="21"/>
                <w:szCs w:val="21"/>
              </w:rPr>
              <w:t>48</w:t>
            </w:r>
            <w:r>
              <w:rPr>
                <w:rFonts w:hint="default" w:asciiTheme="minorAscii" w:hAnsiTheme="minorAscii" w:eastAsiaTheme="minorEastAsia"/>
                <w:sz w:val="21"/>
                <w:szCs w:val="21"/>
              </w:rPr>
              <w:t xml:space="preserve"> </w:t>
            </w:r>
            <w:r>
              <w:rPr>
                <w:rFonts w:hint="default" w:cs="仿宋" w:asciiTheme="minorAscii" w:hAnsiTheme="minorAscii" w:eastAsiaTheme="minorEastAsia"/>
                <w:sz w:val="21"/>
                <w:szCs w:val="21"/>
              </w:rPr>
              <w:t>小时内采摘供应，原菜须保证菜面干净、无明显泥土、码放整齐、无破损、大小基本</w:t>
            </w:r>
            <w:r>
              <w:rPr>
                <w:rFonts w:hint="default" w:asciiTheme="minorAscii" w:hAnsiTheme="minorAscii" w:eastAsiaTheme="minorEastAsia"/>
                <w:sz w:val="21"/>
                <w:szCs w:val="21"/>
              </w:rPr>
              <w:t xml:space="preserve"> </w:t>
            </w:r>
            <w:r>
              <w:rPr>
                <w:rFonts w:hint="default" w:cs="仿宋" w:asciiTheme="minorAscii" w:hAnsiTheme="minorAscii" w:eastAsiaTheme="minorEastAsia"/>
                <w:sz w:val="21"/>
                <w:szCs w:val="21"/>
              </w:rPr>
              <w:t>统一、不得过熟或欠熟；净菜须保证菜面完全干净、无泥土、</w:t>
            </w:r>
            <w:r>
              <w:rPr>
                <w:rFonts w:hint="default" w:asciiTheme="minorAscii" w:hAnsiTheme="minorAscii" w:eastAsiaTheme="minorEastAsia"/>
                <w:sz w:val="21"/>
                <w:szCs w:val="21"/>
              </w:rPr>
              <w:t xml:space="preserve"> </w:t>
            </w:r>
            <w:r>
              <w:rPr>
                <w:rFonts w:hint="default" w:cs="仿宋" w:asciiTheme="minorAscii" w:hAnsiTheme="minorAscii" w:eastAsiaTheme="minorEastAsia"/>
                <w:sz w:val="21"/>
                <w:szCs w:val="21"/>
              </w:rPr>
              <w:t>按统一标准加工、码放整齐、无须二次处理可以直接进行熟加工</w:t>
            </w:r>
          </w:p>
        </w:tc>
        <w:tc>
          <w:tcPr>
            <w:tcW w:w="926" w:type="dxa"/>
            <w:vMerge w:val="continue"/>
            <w:tcBorders>
              <w:top w:val="nil"/>
              <w:left w:val="single" w:color="000000" w:sz="4" w:space="0"/>
              <w:bottom w:val="single" w:color="000000" w:sz="4" w:space="0"/>
              <w:right w:val="single" w:color="000000" w:sz="4" w:space="0"/>
            </w:tcBorders>
          </w:tcPr>
          <w:p w14:paraId="7E1BFA32">
            <w:pPr>
              <w:spacing w:line="240" w:lineRule="auto"/>
              <w:rPr>
                <w:rFonts w:hint="default" w:asciiTheme="minorAscii" w:hAnsiTheme="minorAscii" w:eastAsiaTheme="minorEastAsia"/>
                <w:sz w:val="21"/>
                <w:szCs w:val="21"/>
              </w:rPr>
            </w:pPr>
          </w:p>
        </w:tc>
      </w:tr>
      <w:tr w14:paraId="15D5CFF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3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53066925">
            <w:pPr>
              <w:pStyle w:val="7"/>
              <w:spacing w:line="240" w:lineRule="auto"/>
              <w:jc w:val="center"/>
              <w:rPr>
                <w:rFonts w:hint="default" w:asciiTheme="minorAscii" w:hAnsiTheme="minorAscii" w:eastAsiaTheme="minorEastAsia"/>
                <w:sz w:val="21"/>
                <w:szCs w:val="21"/>
              </w:rPr>
            </w:pPr>
            <w:r>
              <w:rPr>
                <w:rFonts w:hint="default" w:cs="仿宋" w:asciiTheme="minorAscii" w:hAnsiTheme="minorAscii" w:eastAsiaTheme="minorEastAsia"/>
                <w:sz w:val="21"/>
                <w:szCs w:val="21"/>
              </w:rPr>
              <w:t>蛋类</w:t>
            </w:r>
          </w:p>
        </w:tc>
        <w:tc>
          <w:tcPr>
            <w:tcW w:w="672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A42C461">
            <w:pPr>
              <w:pStyle w:val="7"/>
              <w:spacing w:line="240" w:lineRule="auto"/>
              <w:rPr>
                <w:rFonts w:hint="default" w:asciiTheme="minorAscii" w:hAnsiTheme="minorAscii" w:eastAsiaTheme="minorEastAsia"/>
                <w:sz w:val="21"/>
                <w:szCs w:val="21"/>
              </w:rPr>
            </w:pPr>
            <w:r>
              <w:rPr>
                <w:rFonts w:hint="default" w:cs="仿宋" w:asciiTheme="minorAscii" w:hAnsiTheme="minorAscii" w:eastAsiaTheme="minorEastAsia"/>
                <w:sz w:val="21"/>
                <w:szCs w:val="21"/>
              </w:rPr>
              <w:t>鲜新、大小均匀、无破损、色泽光滑，须出具加盖地方政府监督所检疫章的动物检疫证明</w:t>
            </w:r>
          </w:p>
        </w:tc>
        <w:tc>
          <w:tcPr>
            <w:tcW w:w="926" w:type="dxa"/>
            <w:vMerge w:val="continue"/>
            <w:tcBorders>
              <w:top w:val="nil"/>
              <w:left w:val="single" w:color="000000" w:sz="4" w:space="0"/>
              <w:bottom w:val="single" w:color="000000" w:sz="4" w:space="0"/>
              <w:right w:val="single" w:color="000000" w:sz="4" w:space="0"/>
            </w:tcBorders>
          </w:tcPr>
          <w:p w14:paraId="268AB6DC">
            <w:pPr>
              <w:spacing w:line="240" w:lineRule="auto"/>
              <w:rPr>
                <w:rFonts w:hint="default" w:asciiTheme="minorAscii" w:hAnsiTheme="minorAscii" w:eastAsiaTheme="minorEastAsia"/>
                <w:sz w:val="21"/>
                <w:szCs w:val="21"/>
              </w:rPr>
            </w:pPr>
          </w:p>
        </w:tc>
      </w:tr>
      <w:tr w14:paraId="51C103A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3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0A2AAEB4">
            <w:pPr>
              <w:pStyle w:val="7"/>
              <w:spacing w:line="240" w:lineRule="auto"/>
              <w:jc w:val="center"/>
              <w:rPr>
                <w:rFonts w:hint="default" w:asciiTheme="minorAscii" w:hAnsiTheme="minorAscii" w:eastAsiaTheme="minorEastAsia"/>
                <w:sz w:val="21"/>
                <w:szCs w:val="21"/>
              </w:rPr>
            </w:pPr>
            <w:r>
              <w:rPr>
                <w:rFonts w:hint="default" w:cs="仿宋" w:asciiTheme="minorAscii" w:hAnsiTheme="minorAscii" w:eastAsiaTheme="minorEastAsia"/>
                <w:sz w:val="21"/>
                <w:szCs w:val="21"/>
              </w:rPr>
              <w:t>豆制品</w:t>
            </w:r>
          </w:p>
        </w:tc>
        <w:tc>
          <w:tcPr>
            <w:tcW w:w="672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4346080">
            <w:pPr>
              <w:pStyle w:val="7"/>
              <w:spacing w:line="240" w:lineRule="auto"/>
              <w:jc w:val="both"/>
              <w:rPr>
                <w:rFonts w:hint="default" w:asciiTheme="minorAscii" w:hAnsiTheme="minorAscii" w:eastAsiaTheme="minorEastAsia"/>
                <w:sz w:val="21"/>
                <w:szCs w:val="21"/>
              </w:rPr>
            </w:pPr>
            <w:r>
              <w:rPr>
                <w:rFonts w:hint="default" w:cs="仿宋" w:asciiTheme="minorAscii" w:hAnsiTheme="minorAscii" w:eastAsiaTheme="minorEastAsia"/>
                <w:sz w:val="21"/>
                <w:szCs w:val="21"/>
              </w:rPr>
              <w:t>豆腐、豆腐干、绿豆芽、黄豆芽、红豆等；须保证食材干</w:t>
            </w:r>
            <w:r>
              <w:rPr>
                <w:rFonts w:hint="default" w:asciiTheme="minorAscii" w:hAnsiTheme="minorAscii" w:eastAsiaTheme="minorEastAsia"/>
                <w:sz w:val="21"/>
                <w:szCs w:val="21"/>
              </w:rPr>
              <w:t xml:space="preserve"> </w:t>
            </w:r>
            <w:r>
              <w:rPr>
                <w:rFonts w:hint="default" w:cs="仿宋" w:asciiTheme="minorAscii" w:hAnsiTheme="minorAscii" w:eastAsiaTheme="minorEastAsia"/>
                <w:sz w:val="21"/>
                <w:szCs w:val="21"/>
              </w:rPr>
              <w:t>净、不含非食品用化学物质、按统一标准加工、码放整齐、无</w:t>
            </w:r>
            <w:r>
              <w:rPr>
                <w:rFonts w:hint="default" w:asciiTheme="minorAscii" w:hAnsiTheme="minorAscii" w:eastAsiaTheme="minorEastAsia"/>
                <w:sz w:val="21"/>
                <w:szCs w:val="21"/>
              </w:rPr>
              <w:t xml:space="preserve"> </w:t>
            </w:r>
            <w:r>
              <w:rPr>
                <w:rFonts w:hint="default" w:cs="仿宋" w:asciiTheme="minorAscii" w:hAnsiTheme="minorAscii" w:eastAsiaTheme="minorEastAsia"/>
                <w:sz w:val="21"/>
                <w:szCs w:val="21"/>
              </w:rPr>
              <w:t>须二次处理可以直接进行熟加工</w:t>
            </w:r>
          </w:p>
        </w:tc>
        <w:tc>
          <w:tcPr>
            <w:tcW w:w="926" w:type="dxa"/>
            <w:vMerge w:val="continue"/>
            <w:tcBorders>
              <w:top w:val="nil"/>
              <w:left w:val="single" w:color="000000" w:sz="4" w:space="0"/>
              <w:bottom w:val="single" w:color="000000" w:sz="4" w:space="0"/>
              <w:right w:val="single" w:color="000000" w:sz="4" w:space="0"/>
            </w:tcBorders>
          </w:tcPr>
          <w:p w14:paraId="06374F62">
            <w:pPr>
              <w:spacing w:line="240" w:lineRule="auto"/>
              <w:rPr>
                <w:rFonts w:hint="default" w:asciiTheme="minorAscii" w:hAnsiTheme="minorAscii" w:eastAsiaTheme="minorEastAsia"/>
                <w:sz w:val="21"/>
                <w:szCs w:val="21"/>
              </w:rPr>
            </w:pPr>
          </w:p>
        </w:tc>
      </w:tr>
      <w:tr w14:paraId="5FC706A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3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19D9271E">
            <w:pPr>
              <w:pStyle w:val="7"/>
              <w:spacing w:line="240" w:lineRule="auto"/>
              <w:jc w:val="center"/>
              <w:rPr>
                <w:rFonts w:hint="default" w:asciiTheme="minorAscii" w:hAnsiTheme="minorAscii" w:eastAsiaTheme="minorEastAsia"/>
                <w:sz w:val="21"/>
                <w:szCs w:val="21"/>
              </w:rPr>
            </w:pPr>
            <w:r>
              <w:rPr>
                <w:rFonts w:hint="default" w:cs="仿宋" w:asciiTheme="minorAscii" w:hAnsiTheme="minorAscii" w:eastAsiaTheme="minorEastAsia"/>
                <w:sz w:val="21"/>
                <w:szCs w:val="21"/>
              </w:rPr>
              <w:t>水果</w:t>
            </w:r>
          </w:p>
        </w:tc>
        <w:tc>
          <w:tcPr>
            <w:tcW w:w="672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42EC360">
            <w:pPr>
              <w:pStyle w:val="7"/>
              <w:spacing w:line="240" w:lineRule="auto"/>
              <w:rPr>
                <w:rFonts w:hint="default" w:asciiTheme="minorAscii" w:hAnsiTheme="minorAscii" w:eastAsiaTheme="minorEastAsia"/>
                <w:sz w:val="21"/>
                <w:szCs w:val="21"/>
              </w:rPr>
            </w:pPr>
            <w:r>
              <w:rPr>
                <w:rFonts w:hint="default" w:cs="仿宋" w:asciiTheme="minorAscii" w:hAnsiTheme="minorAscii" w:eastAsiaTheme="minorEastAsia"/>
                <w:sz w:val="21"/>
                <w:szCs w:val="21"/>
              </w:rPr>
              <w:t>当即各类水果，无虫、无杂质，须</w:t>
            </w:r>
            <w:r>
              <w:rPr>
                <w:rFonts w:hint="default" w:asciiTheme="minorAscii" w:hAnsiTheme="minorAscii" w:eastAsiaTheme="minorEastAsia"/>
                <w:sz w:val="21"/>
                <w:szCs w:val="21"/>
              </w:rPr>
              <w:t xml:space="preserve"> </w:t>
            </w:r>
            <w:r>
              <w:rPr>
                <w:rFonts w:hint="default" w:cs="仿宋" w:asciiTheme="minorAscii" w:hAnsiTheme="minorAscii" w:eastAsiaTheme="minorEastAsia"/>
                <w:sz w:val="21"/>
                <w:szCs w:val="21"/>
              </w:rPr>
              <w:t>48</w:t>
            </w:r>
            <w:r>
              <w:rPr>
                <w:rFonts w:hint="default" w:asciiTheme="minorAscii" w:hAnsiTheme="minorAscii" w:eastAsiaTheme="minorEastAsia"/>
                <w:sz w:val="21"/>
                <w:szCs w:val="21"/>
              </w:rPr>
              <w:t xml:space="preserve"> </w:t>
            </w:r>
            <w:r>
              <w:rPr>
                <w:rFonts w:hint="default" w:cs="仿宋" w:asciiTheme="minorAscii" w:hAnsiTheme="minorAscii" w:eastAsiaTheme="minorEastAsia"/>
                <w:sz w:val="21"/>
                <w:szCs w:val="21"/>
              </w:rPr>
              <w:t>小时内采摘供应，原水果须保证果面干净、无明显泥土、码放整齐、无破损、大小基本统一、不得过熟或欠熟</w:t>
            </w:r>
          </w:p>
        </w:tc>
        <w:tc>
          <w:tcPr>
            <w:tcW w:w="926" w:type="dxa"/>
            <w:vMerge w:val="continue"/>
            <w:tcBorders>
              <w:top w:val="nil"/>
              <w:left w:val="single" w:color="000000" w:sz="4" w:space="0"/>
              <w:bottom w:val="single" w:color="000000" w:sz="4" w:space="0"/>
              <w:right w:val="single" w:color="000000" w:sz="4" w:space="0"/>
            </w:tcBorders>
          </w:tcPr>
          <w:p w14:paraId="6A5167F8">
            <w:pPr>
              <w:spacing w:line="240" w:lineRule="auto"/>
              <w:rPr>
                <w:rFonts w:hint="default" w:asciiTheme="minorAscii" w:hAnsiTheme="minorAscii" w:eastAsiaTheme="minorEastAsia"/>
                <w:sz w:val="21"/>
                <w:szCs w:val="21"/>
              </w:rPr>
            </w:pPr>
          </w:p>
        </w:tc>
      </w:tr>
      <w:tr w14:paraId="1BAE248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3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3F4B863D">
            <w:pPr>
              <w:pStyle w:val="7"/>
              <w:spacing w:line="240" w:lineRule="auto"/>
              <w:jc w:val="center"/>
              <w:rPr>
                <w:rFonts w:hint="default" w:asciiTheme="minorAscii" w:hAnsiTheme="minorAscii" w:eastAsiaTheme="minorEastAsia"/>
                <w:sz w:val="21"/>
                <w:szCs w:val="21"/>
              </w:rPr>
            </w:pPr>
            <w:r>
              <w:rPr>
                <w:rFonts w:hint="default" w:cs="仿宋" w:asciiTheme="minorAscii" w:hAnsiTheme="minorAscii" w:eastAsiaTheme="minorEastAsia"/>
                <w:sz w:val="21"/>
                <w:szCs w:val="21"/>
              </w:rPr>
              <w:t>米线</w:t>
            </w:r>
          </w:p>
        </w:tc>
        <w:tc>
          <w:tcPr>
            <w:tcW w:w="672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1608A1E">
            <w:pPr>
              <w:pStyle w:val="7"/>
              <w:spacing w:line="240" w:lineRule="auto"/>
              <w:jc w:val="both"/>
              <w:rPr>
                <w:rFonts w:hint="default" w:asciiTheme="minorAscii" w:hAnsiTheme="minorAscii" w:eastAsiaTheme="minorEastAsia"/>
                <w:sz w:val="21"/>
                <w:szCs w:val="21"/>
              </w:rPr>
            </w:pPr>
            <w:r>
              <w:rPr>
                <w:rFonts w:hint="default" w:cs="仿宋" w:asciiTheme="minorAscii" w:hAnsiTheme="minorAscii" w:eastAsiaTheme="minorEastAsia"/>
                <w:sz w:val="21"/>
                <w:szCs w:val="21"/>
              </w:rPr>
              <w:t>米线；要求原材料不含非食品用化学物质、不掺假、不过期、不变质、不变味、无杂质、无毒害，符合国家食品行业的标准</w:t>
            </w:r>
          </w:p>
        </w:tc>
        <w:tc>
          <w:tcPr>
            <w:tcW w:w="926" w:type="dxa"/>
            <w:vMerge w:val="continue"/>
            <w:tcBorders>
              <w:top w:val="nil"/>
              <w:left w:val="single" w:color="000000" w:sz="4" w:space="0"/>
              <w:bottom w:val="single" w:color="000000" w:sz="4" w:space="0"/>
              <w:right w:val="single" w:color="000000" w:sz="4" w:space="0"/>
            </w:tcBorders>
          </w:tcPr>
          <w:p w14:paraId="08D3D299">
            <w:pPr>
              <w:spacing w:line="240" w:lineRule="auto"/>
              <w:rPr>
                <w:rFonts w:hint="default" w:asciiTheme="minorAscii" w:hAnsiTheme="minorAscii" w:eastAsiaTheme="minorEastAsia"/>
                <w:sz w:val="21"/>
                <w:szCs w:val="21"/>
              </w:rPr>
            </w:pPr>
          </w:p>
        </w:tc>
      </w:tr>
      <w:tr w14:paraId="0C43FF8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3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0ABA56FE">
            <w:pPr>
              <w:pStyle w:val="7"/>
              <w:spacing w:line="240" w:lineRule="auto"/>
              <w:jc w:val="center"/>
              <w:rPr>
                <w:rFonts w:hint="default" w:asciiTheme="minorAscii" w:hAnsiTheme="minorAscii" w:eastAsiaTheme="minorEastAsia"/>
                <w:sz w:val="21"/>
                <w:szCs w:val="21"/>
              </w:rPr>
            </w:pPr>
            <w:r>
              <w:rPr>
                <w:rFonts w:hint="default" w:cs="仿宋" w:asciiTheme="minorAscii" w:hAnsiTheme="minorAscii" w:eastAsiaTheme="minorEastAsia"/>
                <w:sz w:val="21"/>
                <w:szCs w:val="21"/>
              </w:rPr>
              <w:t>水产品</w:t>
            </w:r>
          </w:p>
        </w:tc>
        <w:tc>
          <w:tcPr>
            <w:tcW w:w="672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34A4AF3">
            <w:pPr>
              <w:pStyle w:val="7"/>
              <w:spacing w:line="240" w:lineRule="auto"/>
              <w:rPr>
                <w:rFonts w:hint="default" w:asciiTheme="minorAscii" w:hAnsiTheme="minorAscii" w:eastAsiaTheme="minorEastAsia"/>
                <w:sz w:val="21"/>
                <w:szCs w:val="21"/>
              </w:rPr>
            </w:pPr>
            <w:r>
              <w:rPr>
                <w:rFonts w:hint="default" w:cs="仿宋" w:asciiTheme="minorAscii" w:hAnsiTheme="minorAscii" w:eastAsiaTheme="minorEastAsia"/>
                <w:sz w:val="21"/>
                <w:szCs w:val="21"/>
              </w:rPr>
              <w:t>草鱼、黑鱼、桂鱼、鲈鱼等鱼类要求体表光滑无病灶，有鲜鱼鳞片完整，无鳞鱼无浑浊粘液，肉质干燥，紧密，呈白色或淡黄色眼球外突饱满透明，鳃丝清晰鲜红或暗红，保持活体状态固有本色，无异味，鱼类肌肉紧密有弹性，内脏清晰可辨无腐烂</w:t>
            </w:r>
          </w:p>
        </w:tc>
        <w:tc>
          <w:tcPr>
            <w:tcW w:w="926" w:type="dxa"/>
            <w:vMerge w:val="continue"/>
            <w:tcBorders>
              <w:top w:val="nil"/>
              <w:left w:val="single" w:color="000000" w:sz="4" w:space="0"/>
              <w:bottom w:val="single" w:color="000000" w:sz="4" w:space="0"/>
              <w:right w:val="single" w:color="000000" w:sz="4" w:space="0"/>
            </w:tcBorders>
          </w:tcPr>
          <w:p w14:paraId="2B270DDF">
            <w:pPr>
              <w:spacing w:line="240" w:lineRule="auto"/>
              <w:rPr>
                <w:rFonts w:hint="default" w:asciiTheme="minorAscii" w:hAnsiTheme="minorAscii" w:eastAsiaTheme="minorEastAsia"/>
                <w:sz w:val="21"/>
                <w:szCs w:val="21"/>
              </w:rPr>
            </w:pPr>
          </w:p>
        </w:tc>
      </w:tr>
      <w:tr w14:paraId="3B04C92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3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3BF35FB1">
            <w:pPr>
              <w:pStyle w:val="7"/>
              <w:spacing w:line="240" w:lineRule="auto"/>
              <w:jc w:val="center"/>
              <w:rPr>
                <w:rFonts w:hint="default" w:asciiTheme="minorAscii" w:hAnsiTheme="minorAscii" w:eastAsiaTheme="minorEastAsia"/>
                <w:sz w:val="21"/>
                <w:szCs w:val="21"/>
              </w:rPr>
            </w:pPr>
            <w:r>
              <w:rPr>
                <w:rFonts w:hint="default" w:cs="仿宋" w:asciiTheme="minorAscii" w:hAnsiTheme="minorAscii" w:eastAsiaTheme="minorEastAsia"/>
                <w:sz w:val="21"/>
                <w:szCs w:val="21"/>
              </w:rPr>
              <w:t>冻品</w:t>
            </w:r>
          </w:p>
        </w:tc>
        <w:tc>
          <w:tcPr>
            <w:tcW w:w="672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32D2197">
            <w:pPr>
              <w:pStyle w:val="7"/>
              <w:spacing w:line="240" w:lineRule="auto"/>
              <w:jc w:val="both"/>
              <w:rPr>
                <w:rFonts w:hint="default" w:asciiTheme="minorAscii" w:hAnsiTheme="minorAscii" w:eastAsiaTheme="minorEastAsia"/>
                <w:sz w:val="21"/>
                <w:szCs w:val="21"/>
              </w:rPr>
            </w:pPr>
            <w:r>
              <w:rPr>
                <w:rFonts w:hint="default" w:cs="仿宋" w:asciiTheme="minorAscii" w:hAnsiTheme="minorAscii" w:eastAsiaTheme="minorEastAsia"/>
                <w:sz w:val="21"/>
                <w:szCs w:val="21"/>
              </w:rPr>
              <w:t>冻品外包装需完整，无破损，无不封口现象，有生产日期。冻品在解冻后，发现质量问题需退货。符合国家绿色批发市场标准，应具备满足交易需要的冷冻贮藏设施</w:t>
            </w:r>
          </w:p>
        </w:tc>
        <w:tc>
          <w:tcPr>
            <w:tcW w:w="926" w:type="dxa"/>
            <w:vMerge w:val="continue"/>
            <w:tcBorders>
              <w:top w:val="nil"/>
              <w:left w:val="single" w:color="000000" w:sz="4" w:space="0"/>
              <w:bottom w:val="single" w:color="000000" w:sz="4" w:space="0"/>
              <w:right w:val="single" w:color="000000" w:sz="4" w:space="0"/>
            </w:tcBorders>
          </w:tcPr>
          <w:p w14:paraId="2C979CB1">
            <w:pPr>
              <w:spacing w:line="240" w:lineRule="auto"/>
              <w:rPr>
                <w:rFonts w:hint="default" w:asciiTheme="minorAscii" w:hAnsiTheme="minorAscii" w:eastAsiaTheme="minorEastAsia"/>
                <w:sz w:val="21"/>
                <w:szCs w:val="21"/>
              </w:rPr>
            </w:pPr>
          </w:p>
        </w:tc>
      </w:tr>
      <w:tr w14:paraId="7BAF7BB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3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515F8D6B">
            <w:pPr>
              <w:pStyle w:val="7"/>
              <w:spacing w:line="240" w:lineRule="auto"/>
              <w:jc w:val="center"/>
              <w:rPr>
                <w:rFonts w:hint="default" w:asciiTheme="minorAscii" w:hAnsiTheme="minorAscii" w:eastAsiaTheme="minorEastAsia"/>
                <w:sz w:val="21"/>
                <w:szCs w:val="21"/>
              </w:rPr>
            </w:pPr>
            <w:r>
              <w:rPr>
                <w:rFonts w:hint="default" w:cs="仿宋" w:asciiTheme="minorAscii" w:hAnsiTheme="minorAscii" w:eastAsiaTheme="minorEastAsia"/>
                <w:sz w:val="21"/>
                <w:szCs w:val="21"/>
              </w:rPr>
              <w:t>调料</w:t>
            </w:r>
          </w:p>
        </w:tc>
        <w:tc>
          <w:tcPr>
            <w:tcW w:w="672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D71A3F9">
            <w:pPr>
              <w:pStyle w:val="7"/>
              <w:spacing w:line="240" w:lineRule="auto"/>
              <w:rPr>
                <w:rFonts w:hint="default" w:asciiTheme="minorAscii" w:hAnsiTheme="minorAscii" w:eastAsiaTheme="minorEastAsia"/>
                <w:sz w:val="21"/>
                <w:szCs w:val="21"/>
              </w:rPr>
            </w:pPr>
            <w:r>
              <w:rPr>
                <w:rFonts w:hint="default" w:cs="仿宋" w:asciiTheme="minorAscii" w:hAnsiTheme="minorAscii" w:eastAsiaTheme="minorEastAsia"/>
                <w:sz w:val="21"/>
                <w:szCs w:val="21"/>
              </w:rPr>
              <w:t>外包装无污物、无泄漏，无胀袋或胖听或鼓盖现象，无变质发霉现象。</w:t>
            </w:r>
          </w:p>
          <w:p w14:paraId="34C8CA90">
            <w:pPr>
              <w:pStyle w:val="7"/>
              <w:spacing w:line="240" w:lineRule="auto"/>
              <w:rPr>
                <w:rFonts w:hint="default" w:asciiTheme="minorAscii" w:hAnsiTheme="minorAscii" w:eastAsiaTheme="minorEastAsia"/>
                <w:sz w:val="21"/>
                <w:szCs w:val="21"/>
              </w:rPr>
            </w:pPr>
            <w:r>
              <w:rPr>
                <w:rFonts w:hint="default" w:cs="仿宋" w:asciiTheme="minorAscii" w:hAnsiTheme="minorAscii" w:eastAsiaTheme="minorEastAsia"/>
                <w:sz w:val="21"/>
                <w:szCs w:val="21"/>
              </w:rPr>
              <w:t>色泽正常，具有该品种固有的香味，滋味无异味，油酱均匀的酱体或无结块的粉状固体，封口平整，无破包，夹包，漏包，无污染</w:t>
            </w:r>
          </w:p>
        </w:tc>
        <w:tc>
          <w:tcPr>
            <w:tcW w:w="926" w:type="dxa"/>
            <w:vMerge w:val="continue"/>
            <w:tcBorders>
              <w:top w:val="nil"/>
              <w:left w:val="single" w:color="000000" w:sz="4" w:space="0"/>
              <w:bottom w:val="single" w:color="000000" w:sz="4" w:space="0"/>
              <w:right w:val="single" w:color="000000" w:sz="4" w:space="0"/>
            </w:tcBorders>
          </w:tcPr>
          <w:p w14:paraId="6C7712A9">
            <w:pPr>
              <w:spacing w:line="240" w:lineRule="auto"/>
              <w:rPr>
                <w:rFonts w:hint="default" w:asciiTheme="minorAscii" w:hAnsiTheme="minorAscii" w:eastAsiaTheme="minorEastAsia"/>
                <w:sz w:val="21"/>
                <w:szCs w:val="21"/>
              </w:rPr>
            </w:pPr>
          </w:p>
        </w:tc>
      </w:tr>
      <w:tr w14:paraId="21B4875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34"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7FE7E1B7">
            <w:pPr>
              <w:pStyle w:val="7"/>
              <w:spacing w:line="240" w:lineRule="auto"/>
              <w:jc w:val="center"/>
              <w:rPr>
                <w:rFonts w:hint="default" w:asciiTheme="minorAscii" w:hAnsiTheme="minorAscii" w:eastAsiaTheme="minorEastAsia"/>
                <w:sz w:val="21"/>
                <w:szCs w:val="21"/>
              </w:rPr>
            </w:pPr>
            <w:r>
              <w:rPr>
                <w:rFonts w:hint="default" w:cs="仿宋" w:asciiTheme="minorAscii" w:hAnsiTheme="minorAscii" w:eastAsiaTheme="minorEastAsia"/>
                <w:sz w:val="21"/>
                <w:szCs w:val="21"/>
              </w:rPr>
              <w:t>副食及</w:t>
            </w:r>
          </w:p>
          <w:p w14:paraId="34FEFAC2">
            <w:pPr>
              <w:pStyle w:val="7"/>
              <w:spacing w:line="240" w:lineRule="auto"/>
              <w:jc w:val="center"/>
              <w:rPr>
                <w:rFonts w:hint="default" w:asciiTheme="minorAscii" w:hAnsiTheme="minorAscii" w:eastAsiaTheme="minorEastAsia"/>
                <w:sz w:val="21"/>
                <w:szCs w:val="21"/>
              </w:rPr>
            </w:pPr>
            <w:r>
              <w:rPr>
                <w:rFonts w:hint="default" w:cs="仿宋" w:asciiTheme="minorAscii" w:hAnsiTheme="minorAscii" w:eastAsiaTheme="minorEastAsia"/>
                <w:sz w:val="21"/>
                <w:szCs w:val="21"/>
              </w:rPr>
              <w:t>其他</w:t>
            </w:r>
          </w:p>
        </w:tc>
        <w:tc>
          <w:tcPr>
            <w:tcW w:w="672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77C4DCD">
            <w:pPr>
              <w:pStyle w:val="7"/>
              <w:spacing w:line="240" w:lineRule="auto"/>
              <w:rPr>
                <w:rFonts w:hint="default" w:asciiTheme="minorAscii" w:hAnsiTheme="minorAscii" w:eastAsiaTheme="minorEastAsia"/>
                <w:sz w:val="21"/>
                <w:szCs w:val="21"/>
              </w:rPr>
            </w:pPr>
            <w:r>
              <w:rPr>
                <w:rFonts w:hint="default" w:cs="仿宋" w:asciiTheme="minorAscii" w:hAnsiTheme="minorAscii" w:eastAsiaTheme="minorEastAsia"/>
                <w:sz w:val="21"/>
                <w:szCs w:val="21"/>
              </w:rPr>
              <w:t>须保证食材干净、不含非食品用化学物质、按统一标准加工、码放整齐、无须二次处理可以直接进行熟加工。</w:t>
            </w:r>
          </w:p>
        </w:tc>
        <w:tc>
          <w:tcPr>
            <w:tcW w:w="926" w:type="dxa"/>
            <w:vMerge w:val="continue"/>
            <w:tcBorders>
              <w:top w:val="nil"/>
              <w:left w:val="single" w:color="000000" w:sz="4" w:space="0"/>
              <w:bottom w:val="single" w:color="000000" w:sz="4" w:space="0"/>
              <w:right w:val="single" w:color="000000" w:sz="4" w:space="0"/>
            </w:tcBorders>
          </w:tcPr>
          <w:p w14:paraId="5939D2BD">
            <w:pPr>
              <w:spacing w:line="240" w:lineRule="auto"/>
              <w:rPr>
                <w:rFonts w:hint="default" w:asciiTheme="minorAscii" w:hAnsiTheme="minorAscii" w:eastAsiaTheme="minorEastAsia"/>
                <w:sz w:val="21"/>
                <w:szCs w:val="21"/>
              </w:rPr>
            </w:pPr>
          </w:p>
        </w:tc>
      </w:tr>
    </w:tbl>
    <w:p w14:paraId="130DFAEB">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（二）包装与质量要求</w:t>
      </w:r>
    </w:p>
    <w:p w14:paraId="743C98D9">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1、货物包装应完好无破漏，可视的内容物无腐败霉变或影响使用的变型，不存在危及人身、财产安全的不合理危险。</w:t>
      </w:r>
    </w:p>
    <w:p w14:paraId="50CB312B">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2、食品包装标签应符合《食品安全国家标准预包装食品标签通则》（GB7718-20</w:t>
      </w:r>
      <w:r>
        <w:rPr>
          <w:rFonts w:hint="eastAsia" w:cs="仿宋" w:asciiTheme="minorAscii" w:hAnsiTheme="minorAscii"/>
          <w:kern w:val="2"/>
          <w:sz w:val="21"/>
          <w:szCs w:val="21"/>
          <w:lang w:val="en-US" w:eastAsia="zh-CN" w:bidi="ar-SA"/>
        </w:rPr>
        <w:t>25</w:t>
      </w:r>
      <w:r>
        <w:rPr>
          <w:rFonts w:hint="default" w:cs="仿宋" w:asciiTheme="minorAscii" w:hAnsiTheme="minorAscii" w:eastAsiaTheme="minorEastAsia"/>
          <w:kern w:val="2"/>
          <w:sz w:val="21"/>
          <w:szCs w:val="21"/>
          <w:lang w:val="en-US" w:eastAsia="zh-CN" w:bidi="ar-SA"/>
        </w:rPr>
        <w:t>）要求，包括食品名称、配料表、净含量、规格、制造商（或）经销者 的名称、地址和联系方式、生产日期和保质期、贮存条件、食品生产许可证编号、产品标准代号等内容。</w:t>
      </w:r>
    </w:p>
    <w:p w14:paraId="3ADEB30F">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3、供应商配送的食品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14:paraId="227541B2">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4、不得提供未经检疫或者检疫不合格的肉类品(含熟制品)、蔬菜制品，对带骨头肉制品按要求切块，须当批次《肉类卫生防疫证明》和蔬菜农药残留检测报告供采购人随时抽查，抽查发现供应商提供的物资合格证明材料与本批次物资不符时，每次给予1000元处罚。</w:t>
      </w:r>
    </w:p>
    <w:p w14:paraId="275D1EE2">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5、不得提供来历不明、不能提供相应产品标签的散装物品。</w:t>
      </w:r>
    </w:p>
    <w:p w14:paraId="2753FC7D">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color w:val="auto"/>
          <w:kern w:val="2"/>
          <w:sz w:val="21"/>
          <w:szCs w:val="21"/>
          <w:lang w:val="en-US" w:eastAsia="zh-CN" w:bidi="ar-SA"/>
        </w:rPr>
      </w:pPr>
      <w:r>
        <w:rPr>
          <w:rFonts w:hint="default" w:cs="仿宋" w:asciiTheme="minorAscii" w:hAnsiTheme="minorAscii" w:eastAsiaTheme="minorEastAsia"/>
          <w:kern w:val="2"/>
          <w:sz w:val="21"/>
          <w:szCs w:val="21"/>
          <w:lang w:val="en-US" w:eastAsia="zh-CN" w:bidi="ar-SA"/>
        </w:rPr>
        <w:t>6、当天送达食品，在检查过程中发现存在变质腐败、油脂酸败、霉变、生虫、污秽不洁、混有异物或者其他感官性状异常、含有毒有害物质或者被</w:t>
      </w:r>
      <w:r>
        <w:rPr>
          <w:rFonts w:hint="default" w:cs="仿宋" w:asciiTheme="minorAscii" w:hAnsiTheme="minorAscii" w:eastAsiaTheme="minorEastAsia"/>
          <w:color w:val="auto"/>
          <w:kern w:val="2"/>
          <w:sz w:val="21"/>
          <w:szCs w:val="21"/>
          <w:lang w:val="en-US" w:eastAsia="zh-CN" w:bidi="ar-SA"/>
        </w:rPr>
        <w:t>有毒有害物质污染，可能对人体健康有害的物品，供应商必须在当天及时更换货物，如有造成的损失由供应商承担。</w:t>
      </w:r>
    </w:p>
    <w:p w14:paraId="08B023FF">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color w:val="auto"/>
          <w:kern w:val="2"/>
          <w:sz w:val="21"/>
          <w:szCs w:val="21"/>
          <w:lang w:val="en-US" w:eastAsia="zh-CN" w:bidi="ar-SA"/>
        </w:rPr>
      </w:pPr>
      <w:r>
        <w:rPr>
          <w:rFonts w:hint="default" w:cs="仿宋" w:asciiTheme="minorAscii" w:hAnsiTheme="minorAscii" w:eastAsiaTheme="minorEastAsia"/>
          <w:color w:val="auto"/>
          <w:kern w:val="2"/>
          <w:sz w:val="21"/>
          <w:szCs w:val="21"/>
          <w:lang w:val="en-US" w:eastAsia="zh-CN" w:bidi="ar-SA"/>
        </w:rPr>
        <w:t>7、供应商提供的物资必须达到国家规定的卫生安全标准，蔬菜、禽蛋、畜禽肉类等食品能够按有相应的质量检疫检验报告供采购人随时抽查，抽查发现供应商提供的报告与本批次物资不符时，采购人按本批物资量合同价值的3倍给予处罚。</w:t>
      </w:r>
    </w:p>
    <w:p w14:paraId="5CE402A6">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color w:val="auto"/>
          <w:kern w:val="2"/>
          <w:sz w:val="21"/>
          <w:szCs w:val="21"/>
          <w:highlight w:val="none"/>
          <w:lang w:val="en-US" w:eastAsia="zh-CN" w:bidi="ar-SA"/>
        </w:rPr>
      </w:pPr>
      <w:r>
        <w:rPr>
          <w:rFonts w:hint="default" w:cs="仿宋" w:asciiTheme="minorAscii" w:hAnsiTheme="minorAscii" w:eastAsiaTheme="minorEastAsia"/>
          <w:color w:val="auto"/>
          <w:kern w:val="2"/>
          <w:sz w:val="21"/>
          <w:szCs w:val="21"/>
          <w:highlight w:val="none"/>
          <w:lang w:val="en-US" w:eastAsia="zh-CN" w:bidi="ar-SA"/>
        </w:rPr>
        <w:t>8、物资产品在送达采购人指定地点时保质期剩余时间应在三分之二以上。</w:t>
      </w:r>
    </w:p>
    <w:p w14:paraId="1268B41F">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color w:val="auto"/>
          <w:kern w:val="2"/>
          <w:sz w:val="21"/>
          <w:szCs w:val="21"/>
          <w:lang w:val="en-US" w:eastAsia="zh-CN" w:bidi="ar-SA"/>
        </w:rPr>
      </w:pPr>
      <w:r>
        <w:rPr>
          <w:rFonts w:hint="default" w:cs="仿宋" w:asciiTheme="minorAscii" w:hAnsiTheme="minorAscii" w:eastAsiaTheme="minorEastAsia"/>
          <w:color w:val="auto"/>
          <w:kern w:val="2"/>
          <w:sz w:val="21"/>
          <w:szCs w:val="21"/>
          <w:lang w:val="en-US" w:eastAsia="zh-CN" w:bidi="ar-SA"/>
        </w:rPr>
        <w:t>9、如因供应商提供的物资，因质量等问题而使采购人人员发生食物中毒事件的，供应商将承担相应的法律责任。</w:t>
      </w:r>
    </w:p>
    <w:p w14:paraId="6287504C">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10、供应商配送的食品应无毒、无害，具有完好的形、色、香、味等性状，并符合质量要求。</w:t>
      </w:r>
    </w:p>
    <w:p w14:paraId="109447F3">
      <w:pPr>
        <w:spacing w:line="360" w:lineRule="auto"/>
        <w:rPr>
          <w:rFonts w:hint="default" w:cs="仿宋" w:asciiTheme="minorAscii" w:hAnsiTheme="minorAscii" w:eastAsiaTheme="minorEastAsia"/>
          <w:b/>
          <w:bCs/>
          <w:spacing w:val="0"/>
          <w:sz w:val="21"/>
          <w:szCs w:val="21"/>
          <w:highlight w:val="none"/>
          <w:lang w:val="en-US" w:eastAsia="zh-CN"/>
        </w:rPr>
      </w:pPr>
      <w:r>
        <w:rPr>
          <w:rFonts w:hint="default" w:cs="仿宋" w:asciiTheme="minorAscii" w:hAnsiTheme="minorAscii" w:eastAsiaTheme="minorEastAsia"/>
          <w:b/>
          <w:bCs/>
          <w:spacing w:val="0"/>
          <w:sz w:val="21"/>
          <w:szCs w:val="21"/>
          <w:highlight w:val="none"/>
          <w:lang w:val="en-US" w:eastAsia="zh-CN"/>
        </w:rPr>
        <w:t>三、食材运输要求</w:t>
      </w:r>
    </w:p>
    <w:p w14:paraId="2B5F7D6F">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食材在运输时，其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14:paraId="0D5A4BF9">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1、原材料配送</w:t>
      </w:r>
    </w:p>
    <w:p w14:paraId="755E86FD">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（1）</w:t>
      </w:r>
      <w:r>
        <w:rPr>
          <w:rFonts w:hint="default" w:cs="仿宋" w:asciiTheme="minorAscii" w:hAnsiTheme="minorAscii" w:eastAsiaTheme="minorEastAsia"/>
          <w:kern w:val="2"/>
          <w:sz w:val="21"/>
          <w:szCs w:val="21"/>
          <w:highlight w:val="none"/>
          <w:lang w:val="en-US" w:eastAsia="zh-CN" w:bidi="ar-SA"/>
        </w:rPr>
        <w:t>蔬菜类每日配送</w:t>
      </w:r>
      <w:r>
        <w:rPr>
          <w:rFonts w:hint="default" w:cs="仿宋" w:asciiTheme="minorAscii" w:hAnsiTheme="minorAscii" w:eastAsiaTheme="minorEastAsia"/>
          <w:kern w:val="2"/>
          <w:sz w:val="21"/>
          <w:szCs w:val="21"/>
          <w:lang w:val="en-US" w:eastAsia="zh-CN" w:bidi="ar-SA"/>
        </w:rPr>
        <w:t>，当日配送种类与数量以前一天采购人书面（传真或邮件）菜单为准，采购人根据需求开出每日菜单的品种及数量，供应商须在当日内做出响应，如有某些菜品出现市场断档，当日及时告知采购人，以便采购人做出必要调整，供应商</w:t>
      </w:r>
      <w:r>
        <w:rPr>
          <w:rFonts w:hint="default" w:cs="仿宋" w:asciiTheme="minorAscii" w:hAnsiTheme="minorAscii" w:eastAsiaTheme="minorEastAsia"/>
          <w:kern w:val="2"/>
          <w:sz w:val="21"/>
          <w:szCs w:val="21"/>
          <w:highlight w:val="none"/>
          <w:lang w:val="en-US" w:eastAsia="zh-CN" w:bidi="ar-SA"/>
        </w:rPr>
        <w:t>保证当日6点</w:t>
      </w:r>
      <w:r>
        <w:rPr>
          <w:rFonts w:hint="default" w:cs="仿宋" w:asciiTheme="minorAscii" w:hAnsiTheme="minorAscii" w:eastAsiaTheme="minorEastAsia"/>
          <w:kern w:val="2"/>
          <w:sz w:val="21"/>
          <w:szCs w:val="21"/>
          <w:lang w:val="en-US" w:eastAsia="zh-CN" w:bidi="ar-SA"/>
        </w:rPr>
        <w:t>前将各类蔬菜配送至采购人指定地点。</w:t>
      </w:r>
    </w:p>
    <w:p w14:paraId="49FFA8EB">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2）米、面、油一周一次配送，配送种类及数量以采购人提前书面（传真或邮件）单为准，采购人根据米、面、油一周的需求总量在每周四向供应商发出配送清单，供应商保证每周五下午3点前米、面、油配送至采购人指定地点。</w:t>
      </w:r>
    </w:p>
    <w:p w14:paraId="0ACFACC6">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3）肉禽蛋类、水产类、水果、奶及奶制品由采购人根据菜谱需求，提前书面（传真或邮件）告知供应商肉禽蛋类、水产类、水果、奶及奶制品需求计划，供应商须在当日做出响应，如有某些菜品出现市场断档，当日及时告知采购人，以便采购人做出必要调整，供应商根据菜谱上的</w:t>
      </w:r>
      <w:r>
        <w:rPr>
          <w:rFonts w:hint="default" w:cs="仿宋" w:asciiTheme="minorAscii" w:hAnsiTheme="minorAscii" w:eastAsiaTheme="minorEastAsia"/>
          <w:kern w:val="2"/>
          <w:sz w:val="21"/>
          <w:szCs w:val="21"/>
          <w:highlight w:val="none"/>
          <w:lang w:val="en-US" w:eastAsia="zh-CN" w:bidi="ar-SA"/>
        </w:rPr>
        <w:t>每日需求，当天配送。</w:t>
      </w:r>
    </w:p>
    <w:p w14:paraId="1CDDA48D">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（4）干货、调味品类由采购人根据菜谱需求，提前书面（传真或邮件）告知供应商，供应商须在2日内书面（传真或邮件）告知采购人准备情况，每周根据需要配送当周产品。</w:t>
      </w:r>
    </w:p>
    <w:p w14:paraId="5E9A9877">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注：如遇采购人所属单位出现紧急任务或加班备勤等突发状况时，供应商必须在第一时间内将食品原材料配送到位。</w:t>
      </w:r>
    </w:p>
    <w:p w14:paraId="71F1DD1E">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2、其他配送要求</w:t>
      </w:r>
    </w:p>
    <w:p w14:paraId="56577AD8">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（1）须有冷链配送服务，鲜活物品保证在送达指定地点后依旧新鲜。</w:t>
      </w:r>
    </w:p>
    <w:p w14:paraId="25D09BBD">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（2）成交供应商将货物按要求保质保量送到采购人指定地点，并提供本批次货物的货物清单（含货物种类、数量、价格等）、果蔬农残检测报告、动物检疫合格证明和肉品品质检验合格证。</w:t>
      </w:r>
    </w:p>
    <w:p w14:paraId="0AD62BE5">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（3）成交供应商提供的产品若出现不合格产品或在运输途中出现破损的，应在接到采购人通知后及时响应并进行处理。</w:t>
      </w:r>
    </w:p>
    <w:p w14:paraId="00A91F8E">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（4）成交供应商必须将所报项目的服务人员在采购人相关科室备案，保证采购人在有供货需求时能顺利联系到服务人员。</w:t>
      </w:r>
    </w:p>
    <w:p w14:paraId="5023B200">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（5）成交供应商提供的产品必须是通过正规渠道采购，若发现成交供应商提供的产品属于假货，采购人有权进行处罚并终止合同。</w:t>
      </w:r>
    </w:p>
    <w:p w14:paraId="6BB5550C">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（6）成交供应商需提供合法有效的营业执照，食品经营许可证，</w:t>
      </w:r>
      <w:r>
        <w:rPr>
          <w:rFonts w:hint="default" w:cs="仿宋" w:asciiTheme="minorAscii" w:hAnsiTheme="minorAscii" w:eastAsiaTheme="minorEastAsia"/>
          <w:kern w:val="2"/>
          <w:sz w:val="21"/>
          <w:szCs w:val="21"/>
          <w:highlight w:val="none"/>
          <w:lang w:val="en-US" w:eastAsia="zh-CN" w:bidi="ar-SA"/>
        </w:rPr>
        <w:t>西安市食用农产品重点品种经营备案证。</w:t>
      </w:r>
    </w:p>
    <w:p w14:paraId="5D60911E">
      <w:pPr>
        <w:spacing w:line="360" w:lineRule="auto"/>
        <w:rPr>
          <w:rFonts w:hint="default" w:cs="仿宋" w:asciiTheme="minorAscii" w:hAnsiTheme="minorAscii" w:eastAsiaTheme="minorEastAsia"/>
          <w:b/>
          <w:bCs/>
          <w:sz w:val="21"/>
          <w:szCs w:val="21"/>
          <w:lang w:val="en-US" w:eastAsia="zh-CN"/>
        </w:rPr>
      </w:pPr>
      <w:r>
        <w:rPr>
          <w:rFonts w:hint="default" w:cs="仿宋" w:asciiTheme="minorAscii" w:hAnsiTheme="minorAscii" w:eastAsiaTheme="minorEastAsia"/>
          <w:b/>
          <w:bCs/>
          <w:sz w:val="21"/>
          <w:szCs w:val="21"/>
          <w:lang w:val="en-US" w:eastAsia="zh-CN"/>
        </w:rPr>
        <w:t>四、询价标准</w:t>
      </w:r>
    </w:p>
    <w:p w14:paraId="26E00C79">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1）询价周期：食品供应按季节随行就市，其中配送蔬菜、水果、肉蛋禽、水产的价格，供应商每周根据市场调研，得出一个市场价作为货物价款，报采购人审核确认后采购；配送米、面、油、干货、调料、杂粮等原材料每月根据市场调研，得出一个市场价作为货物价款，报采购人审核确认后采购。</w:t>
      </w:r>
    </w:p>
    <w:p w14:paraId="59F92165">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（2）询价依据：根据供应商询价的市场（一家或多家大型超市）询价价格与采购人询价的市场 （一家或多家大型超市）价格协商确定结算价格。（若双方对对方的价格有所质疑， 可委派人员重新对有异议的价格进行核实。）该价格为本询价周期的单价。</w:t>
      </w:r>
    </w:p>
    <w:p w14:paraId="34B21932">
      <w:pPr>
        <w:pStyle w:val="7"/>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s="仿宋" w:asciiTheme="minorAscii" w:hAnsiTheme="minorAscii" w:eastAsiaTheme="minorEastAsia"/>
          <w:kern w:val="2"/>
          <w:sz w:val="21"/>
          <w:szCs w:val="21"/>
          <w:lang w:val="en-US" w:eastAsia="zh-CN" w:bidi="ar-SA"/>
        </w:rPr>
      </w:pPr>
      <w:r>
        <w:rPr>
          <w:rFonts w:hint="default" w:cs="仿宋" w:asciiTheme="minorAscii" w:hAnsiTheme="minorAscii" w:eastAsiaTheme="minorEastAsia"/>
          <w:kern w:val="2"/>
          <w:sz w:val="21"/>
          <w:szCs w:val="21"/>
          <w:lang w:val="en-US" w:eastAsia="zh-CN" w:bidi="ar-SA"/>
        </w:rPr>
        <w:t>注：每次协商确定的询价结果作为本次询价周期内的结算依据；</w:t>
      </w:r>
    </w:p>
    <w:p w14:paraId="267A85A4">
      <w:pPr>
        <w:spacing w:line="360" w:lineRule="auto"/>
        <w:rPr>
          <w:rFonts w:hint="default" w:cs="仿宋" w:asciiTheme="minorAscii" w:hAnsiTheme="minorAscii" w:eastAsiaTheme="minorEastAsia"/>
          <w:b/>
          <w:bCs/>
          <w:sz w:val="21"/>
          <w:szCs w:val="21"/>
          <w:lang w:val="en-US" w:eastAsia="zh-CN"/>
        </w:rPr>
      </w:pPr>
      <w:r>
        <w:rPr>
          <w:rFonts w:hint="default" w:cs="仿宋" w:asciiTheme="minorAscii" w:hAnsiTheme="minorAscii" w:eastAsiaTheme="minorEastAsia"/>
          <w:b/>
          <w:bCs/>
          <w:sz w:val="21"/>
          <w:szCs w:val="21"/>
          <w:lang w:val="en-US" w:eastAsia="zh-CN"/>
        </w:rPr>
        <w:t>五、商务要求</w:t>
      </w:r>
    </w:p>
    <w:p w14:paraId="5E620816">
      <w:pPr>
        <w:spacing w:line="360" w:lineRule="auto"/>
        <w:ind w:firstLine="420" w:firstLineChars="200"/>
        <w:jc w:val="left"/>
        <w:rPr>
          <w:rFonts w:hint="default" w:cs="仿宋" w:asciiTheme="minorAscii" w:hAnsiTheme="minorAscii" w:eastAsiaTheme="minorEastAsia"/>
          <w:sz w:val="21"/>
          <w:szCs w:val="21"/>
        </w:rPr>
      </w:pPr>
      <w:r>
        <w:rPr>
          <w:rFonts w:hint="default" w:cs="仿宋" w:asciiTheme="minorAscii" w:hAnsiTheme="minorAscii" w:eastAsiaTheme="minorEastAsia"/>
          <w:sz w:val="21"/>
          <w:szCs w:val="21"/>
        </w:rPr>
        <w:t>1、服务期：</w:t>
      </w:r>
      <w:r>
        <w:rPr>
          <w:rFonts w:hint="default" w:cs="仿宋" w:asciiTheme="minorAscii" w:hAnsiTheme="minorAscii" w:eastAsiaTheme="minorEastAsia"/>
          <w:sz w:val="21"/>
          <w:szCs w:val="21"/>
          <w:lang w:val="en-US" w:eastAsia="zh-CN"/>
        </w:rPr>
        <w:t>自合同签订之日起</w:t>
      </w:r>
      <w:r>
        <w:rPr>
          <w:rFonts w:hint="default" w:cs="仿宋" w:asciiTheme="minorAscii" w:hAnsiTheme="minorAscii" w:eastAsiaTheme="minorEastAsia"/>
          <w:sz w:val="21"/>
          <w:szCs w:val="21"/>
        </w:rPr>
        <w:t>1年。</w:t>
      </w:r>
    </w:p>
    <w:p w14:paraId="79853816">
      <w:pPr>
        <w:pStyle w:val="4"/>
        <w:spacing w:line="360" w:lineRule="auto"/>
        <w:ind w:firstLine="420" w:firstLineChars="200"/>
        <w:jc w:val="left"/>
        <w:rPr>
          <w:rFonts w:hint="default" w:asciiTheme="minorAscii" w:hAnsiTheme="minorAscii" w:eastAsiaTheme="minorEastAsia"/>
          <w:sz w:val="21"/>
          <w:szCs w:val="21"/>
          <w:lang w:val="en-US"/>
        </w:rPr>
      </w:pPr>
      <w:r>
        <w:rPr>
          <w:rFonts w:hint="default" w:asciiTheme="minorAscii" w:hAnsiTheme="minorAscii" w:eastAsiaTheme="minorEastAsia"/>
          <w:sz w:val="21"/>
          <w:szCs w:val="21"/>
          <w:lang w:val="en-US"/>
        </w:rPr>
        <w:t>2、服务地点：采购人指定地点。</w:t>
      </w:r>
    </w:p>
    <w:p w14:paraId="3E655B40">
      <w:pPr>
        <w:pStyle w:val="4"/>
        <w:spacing w:line="360" w:lineRule="auto"/>
        <w:ind w:firstLine="420" w:firstLineChars="200"/>
        <w:jc w:val="left"/>
        <w:rPr>
          <w:rFonts w:hint="default" w:asciiTheme="minorAscii" w:hAnsiTheme="minorAscii" w:eastAsiaTheme="minorEastAsia"/>
          <w:sz w:val="21"/>
          <w:szCs w:val="21"/>
          <w:lang w:val="en-US" w:eastAsia="zh-CN"/>
        </w:rPr>
      </w:pPr>
      <w:r>
        <w:rPr>
          <w:rFonts w:hint="default" w:asciiTheme="minorAscii" w:hAnsiTheme="minorAscii" w:eastAsiaTheme="minorEastAsia"/>
          <w:sz w:val="21"/>
          <w:szCs w:val="21"/>
          <w:lang w:val="en-US" w:eastAsia="zh-CN"/>
        </w:rPr>
        <w:t xml:space="preserve">3、质量标准：食品质量按照《中华人民共和国食品安全法》、《中华人民共和国产品质量法》、《中华人民共和国家农产品质量安全法》保证食品质量。提供的食品必须符合上述法律法规的规定或国家或行业现行规定的相关标准。 </w:t>
      </w:r>
    </w:p>
    <w:p w14:paraId="2B8158D2">
      <w:pPr>
        <w:pStyle w:val="4"/>
        <w:spacing w:line="360" w:lineRule="auto"/>
        <w:ind w:firstLine="420" w:firstLineChars="200"/>
        <w:jc w:val="left"/>
        <w:rPr>
          <w:rFonts w:hint="default" w:asciiTheme="minorAscii" w:hAnsiTheme="minorAscii" w:eastAsiaTheme="minorEastAsia"/>
          <w:sz w:val="21"/>
          <w:szCs w:val="21"/>
          <w:lang w:val="en-US" w:eastAsia="zh-CN"/>
        </w:rPr>
      </w:pPr>
      <w:r>
        <w:rPr>
          <w:rFonts w:hint="default" w:asciiTheme="minorAscii" w:hAnsiTheme="minorAscii" w:eastAsiaTheme="minorEastAsia"/>
          <w:sz w:val="21"/>
          <w:szCs w:val="21"/>
          <w:lang w:val="en-US" w:eastAsia="zh-CN"/>
        </w:rPr>
        <w:t>验收：符合国家和行业制定的相应的标准和规范；原材料验收由采购单位业务管理方、供应方、食堂使用方，三方现场检验，对供应产品的质量无异议数量准确无误后，三方签字，各自留存。</w:t>
      </w:r>
    </w:p>
    <w:p w14:paraId="67A1FE1E">
      <w:pPr>
        <w:pStyle w:val="4"/>
        <w:spacing w:line="360" w:lineRule="auto"/>
        <w:ind w:firstLine="420" w:firstLineChars="200"/>
        <w:jc w:val="left"/>
        <w:rPr>
          <w:rFonts w:hint="default" w:asciiTheme="minorAscii" w:hAnsiTheme="minorAscii" w:eastAsiaTheme="minorEastAsia"/>
          <w:sz w:val="21"/>
          <w:szCs w:val="21"/>
        </w:rPr>
      </w:pPr>
      <w:r>
        <w:rPr>
          <w:rFonts w:hint="default" w:asciiTheme="minorAscii" w:hAnsiTheme="minorAscii" w:eastAsiaTheme="minorEastAsia"/>
          <w:sz w:val="21"/>
          <w:szCs w:val="21"/>
          <w:lang w:val="en-US"/>
        </w:rPr>
        <w:t>4、付款方式：</w:t>
      </w:r>
      <w:r>
        <w:rPr>
          <w:rFonts w:hint="default" w:asciiTheme="minorAscii" w:hAnsiTheme="minorAscii" w:eastAsiaTheme="minorEastAsia"/>
          <w:spacing w:val="-4"/>
          <w:sz w:val="21"/>
          <w:szCs w:val="21"/>
          <w:lang w:val="en-US" w:bidi="ar-SA"/>
        </w:rPr>
        <w:t>合同签订后，</w:t>
      </w:r>
      <w:r>
        <w:rPr>
          <w:rFonts w:hint="default" w:asciiTheme="minorAscii" w:hAnsiTheme="minorAscii" w:eastAsiaTheme="minorEastAsia"/>
          <w:spacing w:val="-4"/>
          <w:sz w:val="21"/>
          <w:szCs w:val="21"/>
          <w:lang w:val="en-US" w:eastAsia="zh-CN" w:bidi="ar-SA"/>
        </w:rPr>
        <w:t>在项目服务期内，</w:t>
      </w:r>
      <w:r>
        <w:rPr>
          <w:rFonts w:hint="default" w:asciiTheme="minorAscii" w:hAnsiTheme="minorAscii" w:eastAsiaTheme="minorEastAsia"/>
          <w:sz w:val="21"/>
          <w:szCs w:val="21"/>
        </w:rPr>
        <w:t>据实结算，按月支付</w:t>
      </w:r>
      <w:r>
        <w:rPr>
          <w:rFonts w:hint="default" w:asciiTheme="minorAscii" w:hAnsiTheme="minorAscii" w:eastAsiaTheme="minorEastAsia"/>
          <w:sz w:val="21"/>
          <w:szCs w:val="21"/>
          <w:lang w:eastAsia="zh-CN"/>
        </w:rPr>
        <w:t>；</w:t>
      </w:r>
      <w:r>
        <w:rPr>
          <w:rFonts w:hint="default" w:asciiTheme="minorAscii" w:hAnsiTheme="minorAscii" w:eastAsiaTheme="minorEastAsia"/>
          <w:sz w:val="21"/>
          <w:szCs w:val="21"/>
          <w:lang w:val="en-US" w:eastAsia="zh-CN"/>
        </w:rPr>
        <w:t>在服务期内该年度年终时，采购人可向供应商预付费用，具体预付金额双方协商确定</w:t>
      </w:r>
      <w:r>
        <w:rPr>
          <w:rFonts w:hint="default" w:asciiTheme="minorAscii" w:hAnsiTheme="minorAscii" w:eastAsiaTheme="minorEastAsia"/>
          <w:sz w:val="21"/>
          <w:szCs w:val="21"/>
        </w:rPr>
        <w:t>。</w:t>
      </w:r>
    </w:p>
    <w:p w14:paraId="4DDA6BDE">
      <w:pPr>
        <w:pStyle w:val="4"/>
        <w:spacing w:line="360" w:lineRule="auto"/>
        <w:ind w:firstLine="420" w:firstLineChars="200"/>
        <w:jc w:val="left"/>
        <w:rPr>
          <w:rFonts w:hint="default" w:asciiTheme="minorAscii" w:hAnsiTheme="minorAscii" w:eastAsiaTheme="minorEastAsia"/>
          <w:sz w:val="21"/>
          <w:szCs w:val="21"/>
          <w:lang w:val="en-US" w:eastAsia="zh-CN"/>
        </w:rPr>
      </w:pPr>
      <w:r>
        <w:rPr>
          <w:rFonts w:hint="default" w:asciiTheme="minorAscii" w:hAnsiTheme="minorAscii" w:eastAsiaTheme="minorEastAsia"/>
          <w:sz w:val="21"/>
          <w:szCs w:val="21"/>
          <w:lang w:val="en-US" w:eastAsia="zh-CN"/>
        </w:rPr>
        <w:t>5、其他商务要求：根据《西安市财政局转发省财政厅关于组织地方预算单位做好2025 年政府采购脱贫地区农副产品工作的通知》（市财函</w:t>
      </w:r>
      <w:r>
        <w:rPr>
          <w:rFonts w:hint="default" w:cs="仿宋" w:asciiTheme="minorAscii" w:hAnsiTheme="minorAscii" w:eastAsiaTheme="minorEastAsia"/>
          <w:sz w:val="21"/>
          <w:szCs w:val="21"/>
          <w:lang w:val="en-US" w:eastAsia="zh-CN"/>
        </w:rPr>
        <w:t>〔2025〕142号</w:t>
      </w:r>
      <w:r>
        <w:rPr>
          <w:rFonts w:hint="default" w:asciiTheme="minorAscii" w:hAnsiTheme="minorAscii" w:eastAsiaTheme="minorEastAsia"/>
          <w:sz w:val="21"/>
          <w:szCs w:val="21"/>
          <w:lang w:val="en-US" w:eastAsia="zh-CN"/>
        </w:rPr>
        <w:t>）要求，各级预算单位应预留项目采购总额的15%（不低于）用于“832平台”采购农副产品；结合本项目实际情况，成交供应商应承诺预留不小于本项目预算金额的15%（即111118.00元）用于“832平台”农副产品采购，届时需提供相关证明材料。</w:t>
      </w:r>
    </w:p>
    <w:p w14:paraId="068C2EC6">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841603"/>
    <w:rsid w:val="33A10190"/>
    <w:rsid w:val="396C5791"/>
    <w:rsid w:val="3B7844CB"/>
    <w:rsid w:val="4BF8488F"/>
    <w:rsid w:val="661C70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1"/>
    <w:rPr>
      <w:rFonts w:ascii="仿宋" w:hAnsi="仿宋" w:eastAsia="仿宋" w:cs="仿宋"/>
      <w:sz w:val="28"/>
      <w:szCs w:val="28"/>
      <w:lang w:val="zh-CN" w:eastAsia="zh-CN" w:bidi="zh-CN"/>
    </w:rPr>
  </w:style>
  <w:style w:type="paragraph" w:styleId="4">
    <w:name w:val="Body Text First Indent"/>
    <w:basedOn w:val="3"/>
    <w:semiHidden/>
    <w:unhideWhenUsed/>
    <w:qFormat/>
    <w:uiPriority w:val="99"/>
    <w:pPr>
      <w:ind w:firstLine="420" w:firstLineChars="100"/>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4192</Words>
  <Characters>4296</Characters>
  <Lines>0</Lines>
  <Paragraphs>0</Paragraphs>
  <TotalTime>1</TotalTime>
  <ScaleCrop>false</ScaleCrop>
  <LinksUpToDate>false</LinksUpToDate>
  <CharactersWithSpaces>4326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2024-03-04T04:06:00Z</dcterms:created>
  <dc:creator>朱娟</dc:creator>
  <cp:lastModifiedBy>朱娟</cp:lastModifiedBy>
  <dcterms:modified xsi:type="dcterms:W3CDTF">2025-04-17T11:03:50Z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59DBAC68937B4A538F3B699CB21B07AE_12</vt:lpwstr>
  </property>
  <property fmtid="{D5CDD505-2E9C-101B-9397-08002B2CF9AE}" pid="4" name="KSOTemplateDocerSaveRecord">
    <vt:lpwstr>eyJoZGlkIjoiNTRiN2YxNjhiMWY2MjU3ZTk1NTcyNzUwOWE2ZjIyNTQiLCJ1c2VySWQiOiIyMDIwODMyODIifQ==</vt:lpwstr>
  </property>
</Properties>
</file>