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EBF8B">
      <w:pPr>
        <w:jc w:val="center"/>
        <w:rPr>
          <w:rFonts w:hint="default" w:cs="宋体" w:asciiTheme="minorAscii" w:hAnsiTheme="minorAscii" w:eastAsiaTheme="minorEastAsia"/>
          <w:b/>
          <w:bCs/>
          <w:color w:val="auto"/>
          <w:spacing w:val="0"/>
          <w:w w:val="100"/>
          <w:sz w:val="24"/>
          <w:szCs w:val="24"/>
          <w:lang w:val="en-US"/>
        </w:rPr>
      </w:pPr>
      <w:r>
        <w:rPr>
          <w:rFonts w:hint="eastAsia" w:cs="宋体" w:asciiTheme="minorAscii" w:hAnsiTheme="minorAscii" w:eastAsiaTheme="minorEastAsia"/>
          <w:b/>
          <w:bCs/>
          <w:color w:val="auto"/>
          <w:spacing w:val="0"/>
          <w:w w:val="100"/>
          <w:sz w:val="36"/>
          <w:szCs w:val="36"/>
          <w:lang w:val="en-US" w:eastAsia="zh-CN"/>
        </w:rPr>
        <w:t>合同文本</w:t>
      </w:r>
    </w:p>
    <w:p w14:paraId="6DE6FF53">
      <w:pPr>
        <w:autoSpaceDE w:val="0"/>
        <w:autoSpaceDN w:val="0"/>
        <w:adjustRightInd w:val="0"/>
        <w:spacing w:line="360" w:lineRule="auto"/>
        <w:ind w:firstLine="420" w:firstLineChars="200"/>
        <w:rPr>
          <w:rFonts w:hint="eastAsia" w:ascii="宋体" w:hAnsi="宋体" w:cs="宋体"/>
          <w:bCs/>
          <w:color w:val="auto"/>
          <w:sz w:val="21"/>
          <w:szCs w:val="21"/>
        </w:rPr>
      </w:pPr>
    </w:p>
    <w:p w14:paraId="0F9079BD">
      <w:pPr>
        <w:autoSpaceDE w:val="0"/>
        <w:autoSpaceDN w:val="0"/>
        <w:adjustRightInd w:val="0"/>
        <w:spacing w:line="360" w:lineRule="auto"/>
        <w:ind w:firstLine="420" w:firstLineChars="200"/>
        <w:rPr>
          <w:rFonts w:hint="default" w:ascii="宋体" w:hAnsi="宋体" w:eastAsia="宋体" w:cs="宋体"/>
          <w:bCs/>
          <w:color w:val="auto"/>
          <w:sz w:val="21"/>
          <w:szCs w:val="21"/>
          <w:u w:val="single"/>
          <w:lang w:val="en-US" w:eastAsia="zh-CN"/>
        </w:rPr>
      </w:pPr>
      <w:r>
        <w:rPr>
          <w:rFonts w:hint="eastAsia" w:ascii="宋体" w:hAnsi="宋体" w:cs="宋体"/>
          <w:bCs/>
          <w:color w:val="auto"/>
          <w:sz w:val="21"/>
          <w:szCs w:val="21"/>
        </w:rPr>
        <w:t>甲方（</w:t>
      </w:r>
      <w:r>
        <w:rPr>
          <w:rFonts w:hint="eastAsia" w:ascii="宋体" w:hAnsi="宋体" w:cs="宋体"/>
          <w:bCs/>
          <w:color w:val="auto"/>
          <w:sz w:val="21"/>
          <w:szCs w:val="21"/>
          <w:lang w:val="en-US" w:eastAsia="zh-CN"/>
        </w:rPr>
        <w:t>采  购  人</w:t>
      </w:r>
      <w:r>
        <w:rPr>
          <w:rFonts w:hint="eastAsia" w:ascii="宋体" w:hAnsi="宋体" w:cs="宋体"/>
          <w:bCs/>
          <w:color w:val="auto"/>
          <w:sz w:val="21"/>
          <w:szCs w:val="21"/>
        </w:rPr>
        <w:t>）：</w:t>
      </w:r>
      <w:r>
        <w:rPr>
          <w:rFonts w:hint="eastAsia" w:ascii="宋体" w:hAnsi="宋体" w:cs="宋体"/>
          <w:bCs/>
          <w:color w:val="auto"/>
          <w:sz w:val="21"/>
          <w:szCs w:val="21"/>
          <w:u w:val="single"/>
          <w:lang w:val="en-US" w:eastAsia="zh-CN"/>
        </w:rPr>
        <w:t xml:space="preserve">                                       </w:t>
      </w:r>
    </w:p>
    <w:p w14:paraId="70EFBF65">
      <w:pPr>
        <w:autoSpaceDE w:val="0"/>
        <w:autoSpaceDN w:val="0"/>
        <w:adjustRightInd w:val="0"/>
        <w:spacing w:line="360" w:lineRule="auto"/>
        <w:ind w:firstLine="420" w:firstLineChars="200"/>
        <w:rPr>
          <w:rFonts w:hint="default" w:ascii="宋体" w:hAnsi="宋体" w:eastAsia="宋体" w:cs="宋体"/>
          <w:bCs/>
          <w:color w:val="auto"/>
          <w:sz w:val="21"/>
          <w:szCs w:val="21"/>
          <w:lang w:val="en-US" w:eastAsia="zh-CN"/>
        </w:rPr>
      </w:pPr>
      <w:r>
        <w:rPr>
          <w:rFonts w:hint="eastAsia" w:ascii="宋体" w:hAnsi="宋体" w:cs="宋体"/>
          <w:bCs/>
          <w:color w:val="auto"/>
          <w:sz w:val="21"/>
          <w:szCs w:val="21"/>
        </w:rPr>
        <w:t>乙方（</w:t>
      </w:r>
      <w:r>
        <w:rPr>
          <w:rFonts w:hint="eastAsia" w:ascii="宋体" w:hAnsi="宋体" w:cs="宋体"/>
          <w:bCs/>
          <w:color w:val="auto"/>
          <w:sz w:val="21"/>
          <w:szCs w:val="21"/>
          <w:lang w:val="en-US" w:eastAsia="zh-CN"/>
        </w:rPr>
        <w:t>成交供应商</w:t>
      </w:r>
      <w:r>
        <w:rPr>
          <w:rFonts w:hint="eastAsia" w:ascii="宋体" w:hAnsi="宋体" w:cs="宋体"/>
          <w:bCs/>
          <w:color w:val="auto"/>
          <w:sz w:val="21"/>
          <w:szCs w:val="21"/>
        </w:rPr>
        <w:t>）：</w:t>
      </w:r>
      <w:r>
        <w:rPr>
          <w:rFonts w:hint="eastAsia" w:ascii="宋体" w:hAnsi="宋体" w:cs="宋体"/>
          <w:bCs/>
          <w:color w:val="auto"/>
          <w:sz w:val="21"/>
          <w:szCs w:val="21"/>
          <w:lang w:val="en-US" w:eastAsia="zh-CN"/>
        </w:rPr>
        <w:t xml:space="preserve"> </w:t>
      </w:r>
      <w:r>
        <w:rPr>
          <w:rFonts w:hint="eastAsia" w:ascii="宋体" w:hAnsi="宋体" w:cs="宋体"/>
          <w:bCs/>
          <w:color w:val="auto"/>
          <w:sz w:val="21"/>
          <w:szCs w:val="21"/>
          <w:u w:val="single"/>
          <w:lang w:val="en-US" w:eastAsia="zh-CN"/>
        </w:rPr>
        <w:t xml:space="preserve">                                      </w:t>
      </w:r>
      <w:r>
        <w:rPr>
          <w:rFonts w:hint="eastAsia" w:ascii="宋体" w:hAnsi="宋体" w:cs="宋体"/>
          <w:bCs/>
          <w:color w:val="auto"/>
          <w:sz w:val="21"/>
          <w:szCs w:val="21"/>
          <w:lang w:val="en-US" w:eastAsia="zh-CN"/>
        </w:rPr>
        <w:t xml:space="preserve"> </w:t>
      </w:r>
    </w:p>
    <w:p w14:paraId="6B572776">
      <w:pPr>
        <w:autoSpaceDE w:val="0"/>
        <w:autoSpaceDN w:val="0"/>
        <w:adjustRightInd w:val="0"/>
        <w:spacing w:line="360" w:lineRule="auto"/>
        <w:ind w:firstLine="420" w:firstLineChars="200"/>
        <w:rPr>
          <w:rFonts w:hint="eastAsia" w:ascii="宋体" w:hAnsi="宋体" w:cs="宋体"/>
          <w:bCs/>
          <w:color w:val="auto"/>
          <w:sz w:val="21"/>
          <w:szCs w:val="21"/>
          <w:u w:val="single"/>
          <w:lang w:eastAsia="zh-CN"/>
        </w:rPr>
      </w:pPr>
    </w:p>
    <w:p w14:paraId="065DB285">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u w:val="single"/>
          <w:lang w:eastAsia="zh-CN"/>
        </w:rPr>
        <w:t>西安市不动产登记服务中心办事大厅职工食堂食材配送服务项目</w:t>
      </w:r>
      <w:r>
        <w:rPr>
          <w:rFonts w:hint="eastAsia" w:ascii="宋体" w:hAnsi="宋体" w:cs="宋体"/>
          <w:bCs/>
          <w:color w:val="auto"/>
          <w:sz w:val="21"/>
          <w:szCs w:val="21"/>
          <w:u w:val="single"/>
        </w:rPr>
        <w:t>（项目编号：</w:t>
      </w:r>
      <w:r>
        <w:rPr>
          <w:rFonts w:hint="eastAsia" w:ascii="宋体" w:hAnsi="宋体" w:cs="宋体"/>
          <w:bCs/>
          <w:color w:val="auto"/>
          <w:sz w:val="21"/>
          <w:szCs w:val="21"/>
          <w:u w:val="single"/>
          <w:lang w:val="en-US" w:eastAsia="zh-CN"/>
        </w:rPr>
        <w:t xml:space="preserve">     </w:t>
      </w:r>
      <w:r>
        <w:rPr>
          <w:rFonts w:hint="eastAsia" w:ascii="宋体" w:hAnsi="宋体" w:cs="宋体"/>
          <w:bCs/>
          <w:color w:val="auto"/>
          <w:sz w:val="21"/>
          <w:szCs w:val="21"/>
          <w:u w:val="none"/>
        </w:rPr>
        <w:t>）由</w:t>
      </w:r>
      <w:r>
        <w:rPr>
          <w:rFonts w:hint="eastAsia" w:ascii="宋体" w:hAnsi="宋体" w:cs="宋体"/>
          <w:bCs/>
          <w:color w:val="auto"/>
          <w:sz w:val="21"/>
          <w:szCs w:val="21"/>
          <w:u w:val="single"/>
          <w:lang w:eastAsia="zh-CN"/>
        </w:rPr>
        <w:t>（</w:t>
      </w:r>
      <w:r>
        <w:rPr>
          <w:rFonts w:hint="eastAsia" w:ascii="宋体" w:hAnsi="宋体" w:cs="宋体"/>
          <w:bCs/>
          <w:color w:val="auto"/>
          <w:sz w:val="21"/>
          <w:szCs w:val="21"/>
          <w:u w:val="single"/>
          <w:lang w:val="en-US" w:eastAsia="zh-CN"/>
        </w:rPr>
        <w:t>代理机构名称</w:t>
      </w:r>
      <w:r>
        <w:rPr>
          <w:rFonts w:hint="eastAsia" w:ascii="宋体" w:hAnsi="宋体" w:cs="宋体"/>
          <w:bCs/>
          <w:color w:val="auto"/>
          <w:sz w:val="21"/>
          <w:szCs w:val="21"/>
          <w:u w:val="single"/>
          <w:lang w:eastAsia="zh-CN"/>
        </w:rPr>
        <w:t>）</w:t>
      </w:r>
      <w:r>
        <w:rPr>
          <w:rFonts w:hint="eastAsia" w:ascii="宋体" w:hAnsi="宋体" w:cs="宋体"/>
          <w:bCs/>
          <w:color w:val="auto"/>
          <w:sz w:val="21"/>
          <w:szCs w:val="21"/>
        </w:rPr>
        <w:t>组织</w:t>
      </w:r>
      <w:r>
        <w:rPr>
          <w:rFonts w:hint="eastAsia" w:ascii="宋体" w:hAnsi="宋体" w:cs="宋体"/>
          <w:bCs/>
          <w:color w:val="auto"/>
          <w:sz w:val="21"/>
          <w:szCs w:val="21"/>
          <w:u w:val="single"/>
          <w:lang w:val="en-US" w:eastAsia="zh-CN"/>
        </w:rPr>
        <w:t xml:space="preserve">   （采购方式）     </w:t>
      </w:r>
      <w:r>
        <w:rPr>
          <w:rFonts w:hint="eastAsia" w:ascii="宋体" w:hAnsi="宋体" w:cs="宋体"/>
          <w:bCs/>
          <w:color w:val="auto"/>
          <w:sz w:val="21"/>
          <w:szCs w:val="21"/>
        </w:rPr>
        <w:t>，</w:t>
      </w:r>
      <w:r>
        <w:rPr>
          <w:rFonts w:hint="eastAsia" w:ascii="宋体" w:hAnsi="宋体" w:cs="宋体"/>
          <w:bCs/>
          <w:color w:val="auto"/>
          <w:sz w:val="21"/>
          <w:szCs w:val="21"/>
          <w:u w:val="single"/>
        </w:rPr>
        <w:t xml:space="preserve">      </w:t>
      </w:r>
      <w:r>
        <w:rPr>
          <w:rFonts w:hint="eastAsia" w:ascii="宋体" w:hAnsi="宋体" w:cs="宋体"/>
          <w:bCs/>
          <w:color w:val="auto"/>
          <w:sz w:val="21"/>
          <w:szCs w:val="21"/>
        </w:rPr>
        <w:t>（以下简称“甲方”）确定</w:t>
      </w:r>
      <w:r>
        <w:rPr>
          <w:rFonts w:hint="eastAsia" w:ascii="宋体" w:hAnsi="宋体" w:cs="宋体"/>
          <w:bCs/>
          <w:color w:val="auto"/>
          <w:sz w:val="21"/>
          <w:szCs w:val="21"/>
          <w:u w:val="single"/>
        </w:rPr>
        <w:t xml:space="preserve">        </w:t>
      </w:r>
      <w:r>
        <w:rPr>
          <w:rFonts w:hint="eastAsia" w:ascii="宋体" w:hAnsi="宋体" w:cs="宋体"/>
          <w:bCs/>
          <w:color w:val="auto"/>
          <w:sz w:val="21"/>
          <w:szCs w:val="21"/>
        </w:rPr>
        <w:t>（以下简称“乙方”）为</w:t>
      </w:r>
      <w:r>
        <w:rPr>
          <w:rFonts w:hint="eastAsia" w:ascii="宋体" w:hAnsi="宋体" w:cs="宋体"/>
          <w:bCs/>
          <w:color w:val="auto"/>
          <w:sz w:val="21"/>
          <w:szCs w:val="21"/>
          <w:u w:val="single"/>
        </w:rPr>
        <w:t xml:space="preserve">      </w:t>
      </w:r>
      <w:r>
        <w:rPr>
          <w:rFonts w:hint="eastAsia" w:ascii="宋体" w:hAnsi="宋体" w:cs="宋体"/>
          <w:bCs/>
          <w:color w:val="auto"/>
          <w:sz w:val="21"/>
          <w:szCs w:val="21"/>
        </w:rPr>
        <w:t>标段的成交供应商。</w:t>
      </w:r>
    </w:p>
    <w:p w14:paraId="2C11F86D">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rPr>
        <w:t>依据《中华人民共和国</w:t>
      </w:r>
      <w:r>
        <w:rPr>
          <w:rFonts w:hint="eastAsia" w:ascii="宋体" w:hAnsi="宋体" w:cs="宋体"/>
          <w:bCs/>
          <w:color w:val="auto"/>
          <w:sz w:val="21"/>
          <w:szCs w:val="21"/>
          <w:lang w:val="en-US" w:eastAsia="zh-CN"/>
        </w:rPr>
        <w:t>民法典</w:t>
      </w:r>
      <w:r>
        <w:rPr>
          <w:rFonts w:hint="eastAsia" w:ascii="宋体" w:hAnsi="宋体" w:cs="宋体"/>
          <w:bCs/>
          <w:color w:val="auto"/>
          <w:sz w:val="21"/>
          <w:szCs w:val="21"/>
        </w:rPr>
        <w:t>》，经双方协商按下述条款和条件签署本合同。</w:t>
      </w:r>
    </w:p>
    <w:p w14:paraId="2CD7F040">
      <w:pPr>
        <w:autoSpaceDE w:val="0"/>
        <w:autoSpaceDN w:val="0"/>
        <w:adjustRightInd w:val="0"/>
        <w:spacing w:line="360" w:lineRule="auto"/>
        <w:ind w:firstLine="422" w:firstLineChars="200"/>
        <w:rPr>
          <w:rFonts w:ascii="宋体" w:hAnsi="宋体" w:cs="宋体"/>
          <w:b/>
          <w:bCs/>
          <w:color w:val="auto"/>
          <w:sz w:val="21"/>
          <w:szCs w:val="21"/>
          <w:highlight w:val="none"/>
        </w:rPr>
      </w:pPr>
      <w:r>
        <w:rPr>
          <w:rFonts w:hint="eastAsia" w:ascii="宋体" w:hAnsi="宋体" w:cs="宋体"/>
          <w:b/>
          <w:bCs/>
          <w:color w:val="auto"/>
          <w:sz w:val="21"/>
          <w:szCs w:val="21"/>
          <w:highlight w:val="none"/>
        </w:rPr>
        <w:t>一、款项结算</w:t>
      </w:r>
    </w:p>
    <w:p w14:paraId="63E66BE9">
      <w:pPr>
        <w:autoSpaceDE w:val="0"/>
        <w:autoSpaceDN w:val="0"/>
        <w:adjustRightInd w:val="0"/>
        <w:spacing w:line="360" w:lineRule="auto"/>
        <w:ind w:firstLine="420" w:firstLineChars="200"/>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rPr>
        <w:t>（一）</w:t>
      </w:r>
      <w:r>
        <w:rPr>
          <w:rFonts w:hint="eastAsia" w:ascii="宋体" w:hAnsi="宋体" w:cs="宋体"/>
          <w:b/>
          <w:bCs w:val="0"/>
          <w:color w:val="auto"/>
          <w:sz w:val="21"/>
          <w:szCs w:val="21"/>
          <w:highlight w:val="none"/>
          <w:lang w:val="en-US" w:eastAsia="zh-CN"/>
        </w:rPr>
        <w:t>暂定总价：（大写）</w:t>
      </w:r>
      <w:r>
        <w:rPr>
          <w:rFonts w:hint="eastAsia" w:ascii="宋体" w:hAnsi="宋体" w:cs="宋体"/>
          <w:b/>
          <w:bCs w:val="0"/>
          <w:color w:val="auto"/>
          <w:sz w:val="21"/>
          <w:szCs w:val="21"/>
          <w:highlight w:val="none"/>
          <w:u w:val="single"/>
          <w:lang w:val="en-US" w:eastAsia="zh-CN"/>
        </w:rPr>
        <w:t xml:space="preserve">          </w:t>
      </w:r>
      <w:r>
        <w:rPr>
          <w:rFonts w:hint="eastAsia" w:ascii="宋体" w:hAnsi="宋体" w:cs="宋体"/>
          <w:b/>
          <w:bCs w:val="0"/>
          <w:color w:val="auto"/>
          <w:sz w:val="21"/>
          <w:szCs w:val="21"/>
          <w:highlight w:val="none"/>
          <w:u w:val="none"/>
          <w:lang w:val="en-US" w:eastAsia="zh-CN"/>
        </w:rPr>
        <w:t>（￥</w:t>
      </w:r>
      <w:r>
        <w:rPr>
          <w:rFonts w:hint="eastAsia" w:ascii="宋体" w:hAnsi="宋体" w:cs="宋体"/>
          <w:b/>
          <w:bCs w:val="0"/>
          <w:color w:val="auto"/>
          <w:sz w:val="21"/>
          <w:szCs w:val="21"/>
          <w:highlight w:val="none"/>
          <w:u w:val="single"/>
          <w:lang w:val="en-US" w:eastAsia="zh-CN"/>
        </w:rPr>
        <w:t xml:space="preserve">         </w:t>
      </w:r>
      <w:r>
        <w:rPr>
          <w:rFonts w:hint="eastAsia" w:ascii="宋体" w:hAnsi="宋体" w:cs="宋体"/>
          <w:b/>
          <w:bCs w:val="0"/>
          <w:color w:val="auto"/>
          <w:sz w:val="21"/>
          <w:szCs w:val="21"/>
          <w:highlight w:val="none"/>
          <w:u w:val="none"/>
          <w:lang w:val="en-US" w:eastAsia="zh-CN"/>
        </w:rPr>
        <w:t>），其中，成交费率为</w:t>
      </w:r>
      <w:r>
        <w:rPr>
          <w:rFonts w:hint="eastAsia" w:ascii="宋体" w:hAnsi="宋体" w:cs="宋体"/>
          <w:b/>
          <w:bCs w:val="0"/>
          <w:color w:val="auto"/>
          <w:sz w:val="21"/>
          <w:szCs w:val="21"/>
          <w:highlight w:val="none"/>
          <w:u w:val="single"/>
          <w:lang w:val="en-US" w:eastAsia="zh-CN"/>
        </w:rPr>
        <w:t xml:space="preserve">       </w:t>
      </w:r>
      <w:r>
        <w:rPr>
          <w:rFonts w:hint="eastAsia" w:ascii="宋体" w:hAnsi="宋体" w:cs="宋体"/>
          <w:b/>
          <w:bCs w:val="0"/>
          <w:color w:val="auto"/>
          <w:sz w:val="21"/>
          <w:szCs w:val="21"/>
          <w:highlight w:val="none"/>
          <w:u w:val="none"/>
          <w:lang w:val="en-US" w:eastAsia="zh-CN"/>
        </w:rPr>
        <w:t>%。</w:t>
      </w:r>
    </w:p>
    <w:p w14:paraId="1C9B5359">
      <w:pPr>
        <w:autoSpaceDE w:val="0"/>
        <w:autoSpaceDN w:val="0"/>
        <w:adjustRightInd w:val="0"/>
        <w:spacing w:line="360" w:lineRule="auto"/>
        <w:ind w:firstLine="422" w:firstLineChars="200"/>
        <w:rPr>
          <w:rFonts w:hint="default" w:ascii="宋体" w:hAnsi="宋体" w:eastAsia="宋体" w:cs="宋体"/>
          <w:b/>
          <w:bCs/>
          <w:color w:val="auto"/>
          <w:sz w:val="21"/>
          <w:szCs w:val="21"/>
          <w:highlight w:val="none"/>
          <w:u w:val="single"/>
          <w:lang w:val="en-US" w:eastAsia="zh-CN"/>
        </w:rPr>
      </w:pPr>
      <w:r>
        <w:rPr>
          <w:rFonts w:hint="eastAsia" w:ascii="Calibri" w:hAnsi="Calibri"/>
          <w:b/>
          <w:bCs/>
          <w:color w:val="auto"/>
          <w:sz w:val="21"/>
          <w:szCs w:val="21"/>
          <w:lang w:val="en-US" w:eastAsia="zh-CN"/>
        </w:rPr>
        <w:t>注：成交</w:t>
      </w:r>
      <w:r>
        <w:rPr>
          <w:rFonts w:hint="default" w:ascii="Calibri" w:hAnsi="Calibri" w:eastAsia="宋体"/>
          <w:b/>
          <w:bCs/>
          <w:color w:val="auto"/>
          <w:sz w:val="21"/>
          <w:szCs w:val="21"/>
          <w:lang w:eastAsia="zh-CN"/>
        </w:rPr>
        <w:t>费率=暂定</w:t>
      </w:r>
      <w:r>
        <w:rPr>
          <w:rFonts w:hint="eastAsia" w:ascii="Calibri" w:hAnsi="Calibri"/>
          <w:b/>
          <w:bCs/>
          <w:color w:val="auto"/>
          <w:sz w:val="21"/>
          <w:szCs w:val="21"/>
          <w:lang w:val="en-US" w:eastAsia="zh-CN"/>
        </w:rPr>
        <w:t>总价</w:t>
      </w:r>
      <w:r>
        <w:rPr>
          <w:rFonts w:hint="default" w:ascii="Calibri" w:hAnsi="Calibri" w:eastAsia="宋体"/>
          <w:b/>
          <w:bCs/>
          <w:color w:val="auto"/>
          <w:sz w:val="21"/>
          <w:szCs w:val="21"/>
          <w:lang w:eastAsia="zh-CN"/>
        </w:rPr>
        <w:t>/预算金额</w:t>
      </w:r>
      <w:r>
        <w:rPr>
          <w:rFonts w:hint="eastAsia" w:ascii="Calibri" w:hAnsi="Calibri"/>
          <w:b/>
          <w:bCs/>
          <w:color w:val="auto"/>
          <w:sz w:val="21"/>
          <w:szCs w:val="21"/>
          <w:lang w:eastAsia="zh-CN"/>
        </w:rPr>
        <w:t>。</w:t>
      </w:r>
    </w:p>
    <w:p w14:paraId="22E95B28">
      <w:pPr>
        <w:autoSpaceDE w:val="0"/>
        <w:autoSpaceDN w:val="0"/>
        <w:adjustRightInd w:val="0"/>
        <w:spacing w:line="360" w:lineRule="auto"/>
        <w:ind w:firstLine="420" w:firstLineChars="200"/>
        <w:rPr>
          <w:rFonts w:hint="default" w:ascii="Calibri" w:hAnsi="Calibri" w:eastAsia="宋体"/>
          <w:color w:val="auto"/>
          <w:sz w:val="21"/>
          <w:szCs w:val="21"/>
          <w:lang w:eastAsia="zh-CN"/>
        </w:rPr>
      </w:pPr>
      <w:r>
        <w:rPr>
          <w:rFonts w:hint="eastAsia" w:ascii="宋体" w:hAnsi="宋体" w:cs="宋体"/>
          <w:bCs/>
          <w:color w:val="auto"/>
          <w:sz w:val="21"/>
          <w:szCs w:val="21"/>
          <w:highlight w:val="none"/>
        </w:rPr>
        <w:t>（二）结算方式</w:t>
      </w:r>
      <w:r>
        <w:rPr>
          <w:rFonts w:hint="eastAsia" w:ascii="宋体" w:hAnsi="宋体" w:cs="宋体"/>
          <w:bCs/>
          <w:color w:val="auto"/>
          <w:sz w:val="21"/>
          <w:szCs w:val="21"/>
          <w:highlight w:val="none"/>
          <w:lang w:eastAsia="zh-CN"/>
        </w:rPr>
        <w:t>：</w:t>
      </w:r>
      <w:r>
        <w:rPr>
          <w:rFonts w:hint="default" w:ascii="Calibri" w:hAnsi="Calibri" w:eastAsia="宋体"/>
          <w:color w:val="auto"/>
          <w:sz w:val="21"/>
          <w:szCs w:val="21"/>
          <w:lang w:eastAsia="zh-CN"/>
        </w:rPr>
        <w:t>本项目预算金额740784元为一年采购预算。本项目报价为暂定报价，结算时按照</w:t>
      </w:r>
      <w:r>
        <w:rPr>
          <w:rFonts w:hint="eastAsia" w:ascii="Calibri" w:hAnsi="Calibri"/>
          <w:color w:val="auto"/>
          <w:sz w:val="21"/>
          <w:szCs w:val="21"/>
          <w:lang w:val="en-US" w:eastAsia="zh-CN"/>
        </w:rPr>
        <w:t>成交</w:t>
      </w:r>
      <w:r>
        <w:rPr>
          <w:rFonts w:hint="default" w:ascii="Calibri" w:hAnsi="Calibri" w:eastAsia="宋体"/>
          <w:color w:val="auto"/>
          <w:sz w:val="21"/>
          <w:szCs w:val="21"/>
          <w:lang w:eastAsia="zh-CN"/>
        </w:rPr>
        <w:t>费率</w:t>
      </w:r>
      <w:r>
        <w:rPr>
          <w:rFonts w:hint="eastAsia" w:ascii="Calibri" w:hAnsi="Calibri"/>
          <w:color w:val="auto"/>
          <w:sz w:val="21"/>
          <w:szCs w:val="21"/>
          <w:lang w:val="en-US" w:eastAsia="zh-CN"/>
        </w:rPr>
        <w:t>结合市场价格和实际供货数量</w:t>
      </w:r>
      <w:r>
        <w:rPr>
          <w:rFonts w:hint="default" w:ascii="Calibri" w:hAnsi="Calibri" w:eastAsia="宋体"/>
          <w:color w:val="auto"/>
          <w:sz w:val="21"/>
          <w:szCs w:val="21"/>
          <w:lang w:eastAsia="zh-CN"/>
        </w:rPr>
        <w:t>结算。报价是供应商为完成本项目要求的全部服务内容最终价格的体现，包括人工费、食材费、配送费、车辆费、管理费、采购代理服务费、税金等其他一切相关费用。供应商价格应考虑到可能发生的所有与完成本项目相关服务及履行合同义务有关的一切费用。</w:t>
      </w:r>
      <w:r>
        <w:rPr>
          <w:rFonts w:hint="default" w:ascii="Calibri" w:hAnsi="Calibri" w:eastAsia="宋体"/>
          <w:b/>
          <w:bCs/>
          <w:color w:val="auto"/>
          <w:sz w:val="21"/>
          <w:szCs w:val="21"/>
          <w:lang w:eastAsia="zh-CN"/>
        </w:rPr>
        <w:t>实际结算价=后期</w:t>
      </w:r>
      <w:r>
        <w:rPr>
          <w:rFonts w:hint="eastAsia" w:ascii="Calibri" w:hAnsi="Calibri"/>
          <w:b/>
          <w:bCs/>
          <w:color w:val="auto"/>
          <w:sz w:val="21"/>
          <w:szCs w:val="21"/>
          <w:lang w:val="en-US" w:eastAsia="zh-CN"/>
        </w:rPr>
        <w:t>市场</w:t>
      </w:r>
      <w:r>
        <w:rPr>
          <w:rFonts w:hint="default" w:ascii="Calibri" w:hAnsi="Calibri" w:eastAsia="宋体"/>
          <w:b/>
          <w:bCs/>
          <w:color w:val="auto"/>
          <w:sz w:val="21"/>
          <w:szCs w:val="21"/>
          <w:lang w:eastAsia="zh-CN"/>
        </w:rPr>
        <w:t>询价</w:t>
      </w:r>
      <w:r>
        <w:rPr>
          <w:rFonts w:hint="eastAsia" w:ascii="Calibri" w:hAnsi="Calibri"/>
          <w:b/>
          <w:bCs/>
          <w:color w:val="auto"/>
          <w:sz w:val="21"/>
          <w:szCs w:val="21"/>
          <w:lang w:val="en-US" w:eastAsia="zh-CN"/>
        </w:rPr>
        <w:t>结果</w:t>
      </w:r>
      <w:r>
        <w:rPr>
          <w:rFonts w:hint="default" w:ascii="Calibri" w:hAnsi="Calibri" w:eastAsia="宋体"/>
          <w:b/>
          <w:bCs/>
          <w:color w:val="auto"/>
          <w:sz w:val="21"/>
          <w:szCs w:val="21"/>
          <w:lang w:eastAsia="zh-CN"/>
        </w:rPr>
        <w:t>*供货数量*成交费率。</w:t>
      </w:r>
    </w:p>
    <w:p w14:paraId="080DDBEE">
      <w:pPr>
        <w:spacing w:line="360" w:lineRule="auto"/>
        <w:ind w:firstLine="420" w:firstLineChars="200"/>
        <w:rPr>
          <w:rFonts w:hint="eastAsia" w:ascii="Calibri" w:hAnsi="Calibri"/>
          <w:color w:val="auto"/>
          <w:sz w:val="21"/>
          <w:szCs w:val="21"/>
          <w:lang w:eastAsia="zh-CN"/>
        </w:rPr>
      </w:pPr>
      <w:r>
        <w:rPr>
          <w:rFonts w:hint="eastAsia" w:ascii="Calibri" w:hAnsi="Calibri"/>
          <w:color w:val="auto"/>
          <w:sz w:val="21"/>
          <w:szCs w:val="21"/>
          <w:lang w:eastAsia="zh-CN"/>
        </w:rPr>
        <w:t>（</w:t>
      </w:r>
      <w:r>
        <w:rPr>
          <w:rFonts w:hint="eastAsia" w:ascii="Calibri" w:hAnsi="Calibri"/>
          <w:color w:val="auto"/>
          <w:sz w:val="21"/>
          <w:szCs w:val="21"/>
          <w:lang w:val="en-US" w:eastAsia="zh-CN"/>
        </w:rPr>
        <w:t>三</w:t>
      </w:r>
      <w:r>
        <w:rPr>
          <w:rFonts w:hint="eastAsia" w:ascii="Calibri" w:hAnsi="Calibri"/>
          <w:color w:val="auto"/>
          <w:sz w:val="21"/>
          <w:szCs w:val="21"/>
          <w:lang w:eastAsia="zh-CN"/>
        </w:rPr>
        <w:t>）询价标准</w:t>
      </w:r>
    </w:p>
    <w:p w14:paraId="70AB07FF">
      <w:pPr>
        <w:spacing w:line="360" w:lineRule="auto"/>
        <w:ind w:firstLine="420" w:firstLineChars="200"/>
        <w:rPr>
          <w:rFonts w:hint="eastAsia" w:ascii="Calibri" w:hAnsi="Calibri"/>
          <w:color w:val="auto"/>
          <w:sz w:val="21"/>
          <w:szCs w:val="21"/>
          <w:lang w:eastAsia="zh-CN"/>
        </w:rPr>
      </w:pPr>
      <w:r>
        <w:rPr>
          <w:rFonts w:hint="eastAsia" w:ascii="Calibri" w:hAnsi="Calibri"/>
          <w:color w:val="auto"/>
          <w:sz w:val="21"/>
          <w:szCs w:val="21"/>
          <w:lang w:eastAsia="zh-CN"/>
        </w:rPr>
        <w:t>1、询价周期：食品供应按季节随行就市，其中配送蔬菜、水果、肉蛋禽、水产的价格，供应商每周根据市场调研，得出一个市场价作为货物价款，报采购人审核确认后采购；配送米、面、油、干货、调料、杂粮等原材料每月根据市场调研，得出一个市场价作为货物价款，报采购人审核确认后采购。</w:t>
      </w:r>
    </w:p>
    <w:p w14:paraId="6B62A42F">
      <w:pPr>
        <w:spacing w:line="360" w:lineRule="auto"/>
        <w:ind w:firstLine="420" w:firstLineChars="200"/>
        <w:rPr>
          <w:rFonts w:hint="eastAsia" w:ascii="Calibri" w:hAnsi="Calibri"/>
          <w:color w:val="auto"/>
          <w:sz w:val="21"/>
          <w:szCs w:val="21"/>
          <w:lang w:eastAsia="zh-CN"/>
        </w:rPr>
      </w:pPr>
      <w:r>
        <w:rPr>
          <w:rFonts w:hint="eastAsia" w:ascii="Calibri" w:hAnsi="Calibri"/>
          <w:color w:val="auto"/>
          <w:sz w:val="21"/>
          <w:szCs w:val="21"/>
          <w:lang w:eastAsia="zh-CN"/>
        </w:rPr>
        <w:t>2、询价依据：根据供应商询价的市场（一家或多家大型超市）询价价格与采购人询价的市场 （一家或多家大型超市）价格协商确定结算价格。（若双方对对方的价格有所质疑， 可委派人员重新对有异议的价格进行核实。）该价格为本询价周期的单价。</w:t>
      </w:r>
    </w:p>
    <w:p w14:paraId="7EC95F15">
      <w:pPr>
        <w:spacing w:line="360" w:lineRule="auto"/>
        <w:ind w:firstLine="420" w:firstLineChars="200"/>
        <w:rPr>
          <w:rFonts w:hint="eastAsia" w:ascii="Calibri" w:hAnsi="Calibri"/>
          <w:color w:val="auto"/>
          <w:sz w:val="21"/>
          <w:szCs w:val="21"/>
          <w:lang w:eastAsia="zh-CN"/>
        </w:rPr>
      </w:pPr>
      <w:r>
        <w:rPr>
          <w:rFonts w:hint="eastAsia" w:ascii="Calibri" w:hAnsi="Calibri"/>
          <w:color w:val="auto"/>
          <w:sz w:val="21"/>
          <w:szCs w:val="21"/>
          <w:lang w:eastAsia="zh-CN"/>
        </w:rPr>
        <w:t>注：每次协商确定的询价结果作为本次询价周期内的结算依据。</w:t>
      </w:r>
    </w:p>
    <w:p w14:paraId="49D96DDC">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lang w:val="en-US" w:eastAsia="zh-CN"/>
        </w:rPr>
        <w:t>四</w:t>
      </w: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rPr>
        <w:t>支付方式：合同签订后，在项目服务期内，据实结算，按月支付；在服务期内该年度年终时，采购人向供应商预付费用，具体预付金额双方协商确定。</w:t>
      </w:r>
      <w:r>
        <w:rPr>
          <w:rFonts w:hint="eastAsia" w:ascii="宋体" w:hAnsi="宋体" w:cs="宋体"/>
          <w:bCs/>
          <w:color w:val="auto"/>
          <w:sz w:val="21"/>
          <w:szCs w:val="21"/>
          <w:highlight w:val="none"/>
          <w:lang w:val="en-US" w:eastAsia="zh-CN"/>
        </w:rPr>
        <w:tab/>
      </w:r>
    </w:p>
    <w:p w14:paraId="2C844152">
      <w:pPr>
        <w:keepNext w:val="0"/>
        <w:keepLines w:val="0"/>
        <w:pageBreakBefore w:val="0"/>
        <w:widowControl w:val="0"/>
        <w:kinsoku/>
        <w:wordWrap/>
        <w:overflowPunct/>
        <w:topLinePunct w:val="0"/>
        <w:autoSpaceDE w:val="0"/>
        <w:autoSpaceDN w:val="0"/>
        <w:bidi w:val="0"/>
        <w:adjustRightInd/>
        <w:snapToGrid/>
        <w:spacing w:line="360" w:lineRule="auto"/>
        <w:ind w:firstLine="422" w:firstLineChars="200"/>
        <w:textAlignment w:val="auto"/>
        <w:rPr>
          <w:rFonts w:ascii="宋体" w:hAnsi="宋体" w:cs="宋体"/>
          <w:bCs/>
          <w:color w:val="auto"/>
          <w:sz w:val="21"/>
          <w:szCs w:val="21"/>
          <w:highlight w:val="none"/>
        </w:rPr>
      </w:pPr>
      <w:r>
        <w:rPr>
          <w:rFonts w:hint="eastAsia" w:ascii="宋体" w:hAnsi="宋体" w:cs="宋体"/>
          <w:b/>
          <w:bCs/>
          <w:color w:val="auto"/>
          <w:sz w:val="21"/>
          <w:szCs w:val="21"/>
          <w:highlight w:val="none"/>
        </w:rPr>
        <w:t>二、配送周期：</w:t>
      </w:r>
      <w:r>
        <w:rPr>
          <w:rFonts w:hint="eastAsia" w:ascii="宋体" w:hAnsi="宋体" w:eastAsia="宋体" w:cs="宋体"/>
          <w:bCs/>
          <w:color w:val="auto"/>
          <w:sz w:val="21"/>
          <w:szCs w:val="21"/>
          <w:highlight w:val="none"/>
        </w:rPr>
        <w:t>自合同签订之日起1年</w:t>
      </w:r>
      <w:r>
        <w:rPr>
          <w:rFonts w:hint="eastAsia" w:ascii="宋体" w:hAnsi="宋体" w:eastAsia="宋体" w:cs="宋体"/>
          <w:bCs/>
          <w:color w:val="auto"/>
          <w:sz w:val="21"/>
          <w:szCs w:val="21"/>
          <w:highlight w:val="none"/>
          <w:lang w:val="en-US" w:eastAsia="zh-CN"/>
        </w:rPr>
        <w:t>。</w:t>
      </w:r>
    </w:p>
    <w:p w14:paraId="7BE41300">
      <w:pPr>
        <w:keepNext w:val="0"/>
        <w:keepLines w:val="0"/>
        <w:pageBreakBefore w:val="0"/>
        <w:widowControl w:val="0"/>
        <w:kinsoku/>
        <w:wordWrap/>
        <w:overflowPunct/>
        <w:topLinePunct w:val="0"/>
        <w:autoSpaceDE w:val="0"/>
        <w:autoSpaceDN w:val="0"/>
        <w:bidi w:val="0"/>
        <w:adjustRightInd/>
        <w:snapToGrid/>
        <w:spacing w:line="360" w:lineRule="auto"/>
        <w:ind w:firstLine="422" w:firstLineChars="200"/>
        <w:textAlignment w:val="auto"/>
        <w:rPr>
          <w:rFonts w:ascii="宋体" w:hAnsi="宋体" w:cs="宋体"/>
          <w:color w:val="auto"/>
          <w:sz w:val="21"/>
          <w:szCs w:val="21"/>
          <w:highlight w:val="none"/>
        </w:rPr>
      </w:pPr>
      <w:r>
        <w:rPr>
          <w:rFonts w:hint="eastAsia" w:ascii="宋体" w:hAnsi="宋体" w:cs="宋体"/>
          <w:b/>
          <w:color w:val="auto"/>
          <w:sz w:val="21"/>
          <w:szCs w:val="21"/>
          <w:highlight w:val="none"/>
          <w:lang w:val="en-US" w:eastAsia="zh-CN"/>
        </w:rPr>
        <w:t>三</w:t>
      </w:r>
      <w:r>
        <w:rPr>
          <w:rFonts w:hint="eastAsia" w:ascii="宋体" w:hAnsi="宋体" w:cs="宋体"/>
          <w:b/>
          <w:color w:val="auto"/>
          <w:sz w:val="21"/>
          <w:szCs w:val="21"/>
          <w:highlight w:val="none"/>
        </w:rPr>
        <w:t>、供货地点：</w:t>
      </w:r>
      <w:r>
        <w:rPr>
          <w:rFonts w:hint="eastAsia" w:ascii="宋体" w:hAnsi="宋体" w:cs="宋体"/>
          <w:color w:val="auto"/>
          <w:sz w:val="21"/>
          <w:szCs w:val="21"/>
          <w:highlight w:val="none"/>
          <w:lang w:eastAsia="zh-CN"/>
        </w:rPr>
        <w:t>甲方</w:t>
      </w:r>
      <w:r>
        <w:rPr>
          <w:rFonts w:hint="eastAsia" w:ascii="宋体" w:hAnsi="宋体" w:cs="宋体"/>
          <w:color w:val="auto"/>
          <w:sz w:val="21"/>
          <w:szCs w:val="21"/>
          <w:highlight w:val="none"/>
        </w:rPr>
        <w:t>指定地点</w:t>
      </w:r>
    </w:p>
    <w:p w14:paraId="100A75D4">
      <w:pPr>
        <w:keepNext w:val="0"/>
        <w:keepLines w:val="0"/>
        <w:pageBreakBefore w:val="0"/>
        <w:widowControl w:val="0"/>
        <w:kinsoku/>
        <w:wordWrap/>
        <w:overflowPunct/>
        <w:topLinePunct w:val="0"/>
        <w:autoSpaceDE w:val="0"/>
        <w:autoSpaceDN w:val="0"/>
        <w:bidi w:val="0"/>
        <w:adjustRightInd/>
        <w:snapToGrid/>
        <w:spacing w:line="360" w:lineRule="auto"/>
        <w:ind w:firstLine="422" w:firstLineChars="200"/>
        <w:textAlignment w:val="auto"/>
        <w:rPr>
          <w:rFonts w:hint="eastAsia" w:ascii="宋体" w:hAnsi="宋体" w:eastAsia="宋体" w:cs="宋体"/>
          <w:b/>
          <w:color w:val="auto"/>
          <w:sz w:val="21"/>
          <w:szCs w:val="21"/>
          <w:lang w:val="en-US" w:eastAsia="zh-CN"/>
        </w:rPr>
      </w:pPr>
      <w:r>
        <w:rPr>
          <w:rFonts w:hint="eastAsia" w:ascii="宋体" w:hAnsi="宋体" w:cs="宋体"/>
          <w:b/>
          <w:color w:val="auto"/>
          <w:sz w:val="21"/>
          <w:szCs w:val="21"/>
          <w:lang w:val="en-US" w:eastAsia="zh-CN"/>
        </w:rPr>
        <w:t>四</w:t>
      </w:r>
      <w:r>
        <w:rPr>
          <w:rFonts w:hint="eastAsia" w:ascii="宋体" w:hAnsi="宋体" w:cs="宋体"/>
          <w:b/>
          <w:color w:val="auto"/>
          <w:sz w:val="21"/>
          <w:szCs w:val="21"/>
        </w:rPr>
        <w:t>、配送</w:t>
      </w:r>
      <w:r>
        <w:rPr>
          <w:rFonts w:hint="eastAsia" w:ascii="宋体" w:hAnsi="宋体" w:cs="宋体"/>
          <w:b/>
          <w:color w:val="auto"/>
          <w:sz w:val="21"/>
          <w:szCs w:val="21"/>
          <w:lang w:val="en-US" w:eastAsia="zh-CN"/>
        </w:rPr>
        <w:t>要求</w:t>
      </w:r>
    </w:p>
    <w:p w14:paraId="631700BA">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eastAsia="宋体" w:cs="Times New Roman"/>
          <w:color w:val="auto"/>
          <w:sz w:val="21"/>
          <w:szCs w:val="21"/>
          <w:lang w:val="en-US" w:eastAsia="zh-CN"/>
        </w:rPr>
        <w:t>食材在运输时，其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14:paraId="4E3D73D9">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（一）</w:t>
      </w:r>
      <w:r>
        <w:rPr>
          <w:rFonts w:hint="eastAsia" w:ascii="Calibri" w:hAnsi="Calibri" w:eastAsia="宋体" w:cs="Times New Roman"/>
          <w:color w:val="auto"/>
          <w:sz w:val="21"/>
          <w:szCs w:val="21"/>
          <w:lang w:val="en-US" w:eastAsia="zh-CN"/>
        </w:rPr>
        <w:t>原材料配送</w:t>
      </w:r>
    </w:p>
    <w:p w14:paraId="5D5B3C12">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1、</w:t>
      </w:r>
      <w:r>
        <w:rPr>
          <w:rFonts w:hint="eastAsia" w:ascii="Calibri" w:hAnsi="Calibri" w:eastAsia="宋体" w:cs="Times New Roman"/>
          <w:color w:val="auto"/>
          <w:sz w:val="21"/>
          <w:szCs w:val="21"/>
          <w:lang w:val="en-US" w:eastAsia="zh-CN"/>
        </w:rPr>
        <w:t>蔬菜类每日配送，当日配送种类与数量以前一天采购人书面（传真或邮件）菜单为准，采购人根据需求开出每日菜单的品种及数量，供应商须在当日内做出响应，如有某些菜品出现市场断档，当日及时告知采购人，以便采购人做出必要调整，供应商保证当日6点前将各类蔬菜配送至采购人指定地点。</w:t>
      </w:r>
    </w:p>
    <w:p w14:paraId="5D153FB9">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2、</w:t>
      </w:r>
      <w:r>
        <w:rPr>
          <w:rFonts w:hint="eastAsia" w:ascii="Calibri" w:hAnsi="Calibri" w:eastAsia="宋体" w:cs="Times New Roman"/>
          <w:color w:val="auto"/>
          <w:sz w:val="21"/>
          <w:szCs w:val="21"/>
          <w:lang w:val="en-US" w:eastAsia="zh-CN"/>
        </w:rPr>
        <w:t>米、面、油一周一次配送，配送种类及数量以采购人提前书面（传真或邮件）单为准，采购人根据米、面、油一周的需求总量在每周四向供应商发出配送清单，供应商保证每周五下午3点前米、面、油配送至采购人指定地点。</w:t>
      </w:r>
    </w:p>
    <w:p w14:paraId="2DB546DD">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3、</w:t>
      </w:r>
      <w:r>
        <w:rPr>
          <w:rFonts w:hint="eastAsia" w:ascii="Calibri" w:hAnsi="Calibri" w:eastAsia="宋体" w:cs="Times New Roman"/>
          <w:color w:val="auto"/>
          <w:sz w:val="21"/>
          <w:szCs w:val="21"/>
          <w:lang w:val="en-US" w:eastAsia="zh-CN"/>
        </w:rPr>
        <w:t>肉禽蛋类、水产类、水果、奶及奶制品由采购人根据菜谱需求，提前书面（传真或邮件）告知供应商肉禽蛋类、水产类、水果、奶及奶制品需求计划，供应商须在当日做出响应，如有某些菜品出现市场断档，当日及时告知采购人，以便采购人做出必要调整，供应商根据菜谱上的每日需求，当天配送。</w:t>
      </w:r>
    </w:p>
    <w:p w14:paraId="39E428E3">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4、</w:t>
      </w:r>
      <w:r>
        <w:rPr>
          <w:rFonts w:hint="eastAsia" w:ascii="Calibri" w:hAnsi="Calibri" w:eastAsia="宋体" w:cs="Times New Roman"/>
          <w:color w:val="auto"/>
          <w:sz w:val="21"/>
          <w:szCs w:val="21"/>
          <w:lang w:val="en-US" w:eastAsia="zh-CN"/>
        </w:rPr>
        <w:t>干货、调味品类由采购人根据菜谱需求，提前书面（传真或邮件）告知供应商，供应商须在2日内书面（传真或邮件）告知采购人准备情况，每周根据需要配送当周产品。</w:t>
      </w:r>
    </w:p>
    <w:p w14:paraId="181ED547">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eastAsia="宋体" w:cs="Times New Roman"/>
          <w:color w:val="auto"/>
          <w:sz w:val="21"/>
          <w:szCs w:val="21"/>
          <w:lang w:val="en-US" w:eastAsia="zh-CN"/>
        </w:rPr>
        <w:t>注：如遇采购人所属单位出现紧急任务或加班备勤等突发状况时，供应商必须在第一时间内将食品原材料配送到位。</w:t>
      </w:r>
    </w:p>
    <w:p w14:paraId="687F4B27">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（二）</w:t>
      </w:r>
      <w:r>
        <w:rPr>
          <w:rFonts w:hint="eastAsia" w:ascii="Calibri" w:hAnsi="Calibri" w:eastAsia="宋体" w:cs="Times New Roman"/>
          <w:color w:val="auto"/>
          <w:sz w:val="21"/>
          <w:szCs w:val="21"/>
          <w:lang w:val="en-US" w:eastAsia="zh-CN"/>
        </w:rPr>
        <w:t>其他配送要求</w:t>
      </w:r>
    </w:p>
    <w:p w14:paraId="020136D0">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1、</w:t>
      </w:r>
      <w:r>
        <w:rPr>
          <w:rFonts w:hint="eastAsia" w:ascii="Calibri" w:hAnsi="Calibri" w:eastAsia="宋体" w:cs="Times New Roman"/>
          <w:color w:val="auto"/>
          <w:sz w:val="21"/>
          <w:szCs w:val="21"/>
          <w:lang w:val="en-US" w:eastAsia="zh-CN"/>
        </w:rPr>
        <w:t>须有冷链配送服务，鲜活物品保证在送达指定地点后依旧新鲜。</w:t>
      </w:r>
    </w:p>
    <w:p w14:paraId="6D730878">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2、</w:t>
      </w:r>
      <w:r>
        <w:rPr>
          <w:rFonts w:hint="eastAsia" w:ascii="Calibri" w:hAnsi="Calibri" w:eastAsia="宋体" w:cs="Times New Roman"/>
          <w:color w:val="auto"/>
          <w:sz w:val="21"/>
          <w:szCs w:val="21"/>
          <w:lang w:val="en-US" w:eastAsia="zh-CN"/>
        </w:rPr>
        <w:t>成交供应商将货物按要求保质保量送到采购人指定地点，并提供本批次货物的货物清单（含货物种类、数量、价格等）、果蔬农残检测报告、动物检疫合格证明和肉品品质检验合格证。</w:t>
      </w:r>
    </w:p>
    <w:p w14:paraId="3E6836A9">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3、</w:t>
      </w:r>
      <w:r>
        <w:rPr>
          <w:rFonts w:hint="eastAsia" w:ascii="Calibri" w:hAnsi="Calibri" w:eastAsia="宋体" w:cs="Times New Roman"/>
          <w:color w:val="auto"/>
          <w:sz w:val="21"/>
          <w:szCs w:val="21"/>
          <w:lang w:val="en-US" w:eastAsia="zh-CN"/>
        </w:rPr>
        <w:t>成交供应商提供的产品若出现不合格产品或在运输途中出现破损的，应在接到采购人通知后及时响应并进行处理。</w:t>
      </w:r>
    </w:p>
    <w:p w14:paraId="644220B3">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4、</w:t>
      </w:r>
      <w:r>
        <w:rPr>
          <w:rFonts w:hint="eastAsia" w:ascii="Calibri" w:hAnsi="Calibri" w:eastAsia="宋体" w:cs="Times New Roman"/>
          <w:color w:val="auto"/>
          <w:sz w:val="21"/>
          <w:szCs w:val="21"/>
          <w:lang w:val="en-US" w:eastAsia="zh-CN"/>
        </w:rPr>
        <w:t>成交供应商必须将所报项目的服务人员在采购人相关科室备案，保证采购人在有供货需求时能顺利联系到服务人员。</w:t>
      </w:r>
    </w:p>
    <w:p w14:paraId="57EF63DC">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5、</w:t>
      </w:r>
      <w:r>
        <w:rPr>
          <w:rFonts w:hint="eastAsia" w:ascii="Calibri" w:hAnsi="Calibri" w:eastAsia="宋体" w:cs="Times New Roman"/>
          <w:color w:val="auto"/>
          <w:sz w:val="21"/>
          <w:szCs w:val="21"/>
          <w:lang w:val="en-US" w:eastAsia="zh-CN"/>
        </w:rPr>
        <w:t>成交供应商提供的产品必须是通过正规渠道采购，若发现成交供应商提供的产品属于假货，采购人有权进行处罚并终止合同。</w:t>
      </w:r>
    </w:p>
    <w:p w14:paraId="4AA6C975">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eastAsia" w:ascii="Calibri" w:hAnsi="Calibri" w:eastAsia="宋体" w:cs="Times New Roman"/>
          <w:color w:val="auto"/>
          <w:sz w:val="21"/>
          <w:szCs w:val="21"/>
          <w:lang w:val="en-US" w:eastAsia="zh-CN"/>
        </w:rPr>
      </w:pPr>
      <w:r>
        <w:rPr>
          <w:rFonts w:hint="eastAsia" w:ascii="Calibri" w:hAnsi="Calibri" w:cs="Times New Roman"/>
          <w:color w:val="auto"/>
          <w:sz w:val="21"/>
          <w:szCs w:val="21"/>
          <w:lang w:val="en-US" w:eastAsia="zh-CN"/>
        </w:rPr>
        <w:t>6、</w:t>
      </w:r>
      <w:r>
        <w:rPr>
          <w:rFonts w:hint="eastAsia" w:ascii="Calibri" w:hAnsi="Calibri" w:eastAsia="宋体" w:cs="Times New Roman"/>
          <w:color w:val="auto"/>
          <w:sz w:val="21"/>
          <w:szCs w:val="21"/>
          <w:lang w:val="en-US" w:eastAsia="zh-CN"/>
        </w:rPr>
        <w:t>成交供应商需提供合法有效的营业执照，食品经营许可证，西安市食用农产品重点品种经营备案证。</w:t>
      </w:r>
    </w:p>
    <w:p w14:paraId="62C15F70">
      <w:pPr>
        <w:spacing w:line="360" w:lineRule="auto"/>
        <w:ind w:firstLine="422" w:firstLineChars="200"/>
        <w:rPr>
          <w:rFonts w:ascii="宋体" w:hAnsi="宋体" w:cs="宋体"/>
          <w:b/>
          <w:color w:val="auto"/>
          <w:sz w:val="21"/>
          <w:szCs w:val="21"/>
          <w:highlight w:val="none"/>
        </w:rPr>
      </w:pPr>
      <w:r>
        <w:rPr>
          <w:rFonts w:hint="eastAsia" w:ascii="Calibri" w:hAnsi="Calibri" w:eastAsia="宋体" w:cs="Times New Roman"/>
          <w:b/>
          <w:bCs/>
          <w:color w:val="auto"/>
          <w:sz w:val="21"/>
          <w:szCs w:val="21"/>
          <w:highlight w:val="none"/>
          <w:lang w:val="en-US" w:eastAsia="zh-CN"/>
        </w:rPr>
        <w:t>五</w:t>
      </w:r>
      <w:r>
        <w:rPr>
          <w:rFonts w:hint="default" w:ascii="Calibri" w:hAnsi="Calibri" w:eastAsia="宋体" w:cs="Times New Roman"/>
          <w:b/>
          <w:bCs/>
          <w:color w:val="auto"/>
          <w:sz w:val="21"/>
          <w:szCs w:val="21"/>
          <w:highlight w:val="none"/>
          <w:lang w:eastAsia="zh-CN"/>
        </w:rPr>
        <w:t>、</w:t>
      </w:r>
      <w:r>
        <w:rPr>
          <w:rFonts w:hint="eastAsia" w:ascii="宋体" w:hAnsi="宋体" w:cs="宋体"/>
          <w:b/>
          <w:color w:val="auto"/>
          <w:sz w:val="21"/>
          <w:szCs w:val="21"/>
          <w:highlight w:val="none"/>
        </w:rPr>
        <w:t>质量保证</w:t>
      </w:r>
    </w:p>
    <w:p w14:paraId="25BC4128">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一）食品质量按照《中华人民共和国食品安全法》、《中华人民共和国产品质量法》、《中华人民共和国家农产品质量安全法》保证食品质量。提供的食品必须符合上述法律法规的规定或国家或行业现行规定的相关标准。</w:t>
      </w:r>
    </w:p>
    <w:p w14:paraId="719C55A4">
      <w:pPr>
        <w:autoSpaceDE w:val="0"/>
        <w:autoSpaceDN w:val="0"/>
        <w:adjustRightInd w:val="0"/>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（二）乙方所提供货物必须是正规企业生产的产品。</w:t>
      </w:r>
    </w:p>
    <w:p w14:paraId="3EDCDBDD">
      <w:pPr>
        <w:autoSpaceDE w:val="0"/>
        <w:autoSpaceDN w:val="0"/>
        <w:adjustRightInd w:val="0"/>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hint="eastAsia" w:ascii="宋体" w:hAnsi="宋体" w:cs="宋体"/>
          <w:bCs/>
          <w:color w:val="auto"/>
          <w:sz w:val="21"/>
          <w:szCs w:val="21"/>
          <w:highlight w:val="none"/>
          <w:lang w:val="en-US" w:eastAsia="zh-CN"/>
        </w:rPr>
        <w:t>三</w:t>
      </w:r>
      <w:r>
        <w:rPr>
          <w:rFonts w:hint="eastAsia" w:ascii="宋体" w:hAnsi="宋体" w:cs="宋体"/>
          <w:bCs/>
          <w:color w:val="auto"/>
          <w:sz w:val="21"/>
          <w:szCs w:val="21"/>
          <w:highlight w:val="none"/>
        </w:rPr>
        <w:t>）乙方提供货物必须是所投标品牌制造厂家生产的最新工艺、最新产品，且经过国家法定部门办理正常生产、流通审批手续。</w:t>
      </w:r>
    </w:p>
    <w:p w14:paraId="110191D7">
      <w:pPr>
        <w:autoSpaceDE w:val="0"/>
        <w:autoSpaceDN w:val="0"/>
        <w:adjustRightInd w:val="0"/>
        <w:spacing w:line="360" w:lineRule="auto"/>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hint="eastAsia" w:ascii="宋体" w:hAnsi="宋体" w:cs="宋体"/>
          <w:bCs/>
          <w:color w:val="auto"/>
          <w:sz w:val="21"/>
          <w:szCs w:val="21"/>
          <w:highlight w:val="none"/>
          <w:lang w:val="en-US" w:eastAsia="zh-CN"/>
        </w:rPr>
        <w:t>四</w:t>
      </w:r>
      <w:r>
        <w:rPr>
          <w:rFonts w:hint="eastAsia" w:ascii="宋体" w:hAnsi="宋体" w:cs="宋体"/>
          <w:bCs/>
          <w:color w:val="auto"/>
          <w:sz w:val="21"/>
          <w:szCs w:val="21"/>
          <w:highlight w:val="none"/>
        </w:rPr>
        <w:t>）乙方所供货物是经过国家相关部门认可的检验或检测机构检验、注册、准许市场销售的合法产品。</w:t>
      </w:r>
    </w:p>
    <w:p w14:paraId="71D29C64">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w:t>
      </w:r>
      <w:r>
        <w:rPr>
          <w:rFonts w:hint="eastAsia" w:ascii="宋体" w:hAnsi="宋体" w:cs="宋体"/>
          <w:bCs/>
          <w:color w:val="auto"/>
          <w:sz w:val="21"/>
          <w:szCs w:val="21"/>
          <w:highlight w:val="none"/>
          <w:lang w:val="en-US" w:eastAsia="zh-CN"/>
        </w:rPr>
        <w:t>五</w:t>
      </w:r>
      <w:r>
        <w:rPr>
          <w:rFonts w:hint="eastAsia" w:ascii="宋体" w:hAnsi="宋体" w:cs="宋体"/>
          <w:bCs/>
          <w:color w:val="auto"/>
          <w:sz w:val="21"/>
          <w:szCs w:val="21"/>
          <w:highlight w:val="none"/>
        </w:rPr>
        <w:t>）货物质量保证措施完善，符合国家相关标准。因产品质量问题导致使用者的健康损害以及给甲方造成的全部损失均由乙方承担。损失包括间接损失和直接损失。</w:t>
      </w:r>
    </w:p>
    <w:p w14:paraId="137E1FEB">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w:t>
      </w:r>
      <w:r>
        <w:rPr>
          <w:rFonts w:hint="eastAsia" w:ascii="宋体" w:hAnsi="宋体" w:cs="宋体"/>
          <w:bCs/>
          <w:color w:val="auto"/>
          <w:sz w:val="21"/>
          <w:szCs w:val="21"/>
          <w:highlight w:val="none"/>
          <w:lang w:val="en-US" w:eastAsia="zh-CN"/>
        </w:rPr>
        <w:t>六</w:t>
      </w:r>
      <w:r>
        <w:rPr>
          <w:rFonts w:hint="eastAsia" w:ascii="宋体" w:hAnsi="宋体" w:cs="宋体"/>
          <w:bCs/>
          <w:color w:val="auto"/>
          <w:sz w:val="21"/>
          <w:szCs w:val="21"/>
          <w:highlight w:val="none"/>
        </w:rPr>
        <w:t>）食材具体要求</w:t>
      </w:r>
    </w:p>
    <w:p w14:paraId="15D6F384">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1、所有食材均须符合《</w:t>
      </w:r>
      <w:r>
        <w:rPr>
          <w:rFonts w:hint="eastAsia" w:ascii="宋体" w:hAnsi="宋体" w:cs="宋体"/>
          <w:bCs/>
          <w:color w:val="auto"/>
          <w:sz w:val="21"/>
          <w:szCs w:val="21"/>
          <w:highlight w:val="none"/>
          <w:lang w:val="en-US" w:eastAsia="zh-CN"/>
        </w:rPr>
        <w:t>中</w:t>
      </w:r>
      <w:r>
        <w:rPr>
          <w:rFonts w:hint="eastAsia" w:ascii="宋体" w:hAnsi="宋体" w:cs="宋体"/>
          <w:bCs/>
          <w:color w:val="auto"/>
          <w:sz w:val="21"/>
          <w:szCs w:val="21"/>
          <w:highlight w:val="none"/>
        </w:rPr>
        <w:t>华人民共和国产品质量法》、《中华人民共和国食品安全法》，须具备所配送产品的检测报告或食品检验合格证，且主要食材应选取可靠品牌。</w:t>
      </w:r>
    </w:p>
    <w:p w14:paraId="151CBF8D">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2、小麦粉：大于等于25kg/袋，独立包装，质量符合国家标准(GB/T 1355-2021)“精制粉”标准要求（提供半年内产品检测报告）；便于运输、储存，非转基因小麦粉。</w:t>
      </w:r>
    </w:p>
    <w:p w14:paraId="381BBFCC">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3、食用油：大于等于16.4L/桶，独立包装，质量符合国家标准（GB1536-2021）“菜籽油”一级或以上标准要求（提供半年内产品检测报告），便于运输、储存，非转基因。</w:t>
      </w:r>
    </w:p>
    <w:p w14:paraId="63F947CF">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4、大米：大于等于25kg/袋，独立包装，质量符合国家标准（GB/T1354-2018）“粳米”一级或以上标准要求（提供半年内产品检测报告）；便于运输、储存，非转基因大米。</w:t>
      </w:r>
    </w:p>
    <w:p w14:paraId="5ADB9AAF">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5、蔬菜、禽蛋必须保证新鲜，果蔬必须符合《食品安全国家标准食品中农药最大残留限量》GB2763</w:t>
      </w:r>
      <w:r>
        <w:rPr>
          <w:rFonts w:hint="eastAsia" w:ascii="宋体" w:hAnsi="宋体" w:cs="宋体"/>
          <w:bCs/>
          <w:color w:val="auto"/>
          <w:sz w:val="21"/>
          <w:szCs w:val="21"/>
          <w:highlight w:val="none"/>
          <w:lang w:val="en-US" w:eastAsia="zh-CN"/>
        </w:rPr>
        <w:t>系列</w:t>
      </w:r>
      <w:r>
        <w:rPr>
          <w:rFonts w:hint="eastAsia" w:ascii="宋体" w:hAnsi="宋体" w:cs="宋体"/>
          <w:bCs/>
          <w:color w:val="auto"/>
          <w:sz w:val="21"/>
          <w:szCs w:val="21"/>
          <w:highlight w:val="none"/>
        </w:rPr>
        <w:t>最新标准的食品中农药最大残留限量标准并具有农药残留检验记录；</w:t>
      </w:r>
    </w:p>
    <w:p w14:paraId="0D42D9EA">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6、肉类、冷冻产品必须保证质量，应具有相关动物检验检疫合格证明，供应商应设有固定的经营场所，并具有符合卫生防疫监督部门要求的肉类食材屠宰厂的经营授权书，含水（冰）率符合标准；</w:t>
      </w:r>
    </w:p>
    <w:p w14:paraId="6831E615">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7、杂粮及调味品要品质好，无霉变、无杂质。定型包装调味品必须保证质量并提供相关证明材料（包含但不限于“SC”食品生产许可证、质量检测报告等）；</w:t>
      </w:r>
    </w:p>
    <w:p w14:paraId="7C8F1C50">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8、豆制品、乳制品及其他半成品送货当日时间不得超过保质期的 1/3 时长， 提供保证质量的相关证明材料（包含但不限于“SC”食品生产许可证、质量检测报告等）。</w:t>
      </w:r>
    </w:p>
    <w:p w14:paraId="323F1526">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注：如国家制定新的食品安全标准，即按新标准执行。</w:t>
      </w:r>
    </w:p>
    <w:tbl>
      <w:tblPr>
        <w:tblStyle w:val="5"/>
        <w:tblW w:w="4999" w:type="pct"/>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046"/>
        <w:gridCol w:w="6539"/>
        <w:gridCol w:w="729"/>
      </w:tblGrid>
      <w:tr w14:paraId="74D7C29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tblHeader/>
          <w:jc w:val="center"/>
        </w:trPr>
        <w:tc>
          <w:tcPr>
            <w:tcW w:w="629"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C3766F3">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b/>
                <w:bCs/>
                <w:color w:val="auto"/>
              </w:rPr>
            </w:pPr>
            <w:r>
              <w:rPr>
                <w:rFonts w:hint="eastAsia" w:ascii="宋体" w:hAnsi="宋体" w:eastAsia="宋体" w:cs="宋体"/>
                <w:b/>
                <w:bCs/>
                <w:color w:val="auto"/>
                <w:sz w:val="21"/>
              </w:rPr>
              <w:t>项目</w:t>
            </w:r>
          </w:p>
        </w:tc>
        <w:tc>
          <w:tcPr>
            <w:tcW w:w="3931" w:type="pct"/>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14:paraId="4CA94BC6">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b/>
                <w:bCs/>
                <w:color w:val="auto"/>
              </w:rPr>
            </w:pPr>
            <w:r>
              <w:rPr>
                <w:rFonts w:hint="eastAsia" w:ascii="宋体" w:hAnsi="宋体" w:eastAsia="宋体" w:cs="宋体"/>
                <w:b/>
                <w:bCs/>
                <w:color w:val="auto"/>
                <w:sz w:val="21"/>
              </w:rPr>
              <w:t>质量要求及包装标准</w:t>
            </w:r>
          </w:p>
        </w:tc>
        <w:tc>
          <w:tcPr>
            <w:tcW w:w="438" w:type="pct"/>
            <w:tcBorders>
              <w:top w:val="single" w:color="000000" w:sz="4" w:space="0"/>
              <w:left w:val="nil"/>
              <w:bottom w:val="single" w:color="000000" w:sz="4" w:space="0"/>
              <w:right w:val="single" w:color="000000" w:sz="4" w:space="0"/>
            </w:tcBorders>
            <w:tcMar>
              <w:top w:w="0" w:type="dxa"/>
              <w:left w:w="0" w:type="dxa"/>
              <w:bottom w:w="0" w:type="dxa"/>
              <w:right w:w="0" w:type="dxa"/>
            </w:tcMar>
            <w:vAlign w:val="center"/>
          </w:tcPr>
          <w:p w14:paraId="0BDFDD26">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b/>
                <w:bCs/>
                <w:color w:val="auto"/>
              </w:rPr>
            </w:pPr>
            <w:r>
              <w:rPr>
                <w:rFonts w:hint="eastAsia" w:ascii="宋体" w:hAnsi="宋体" w:eastAsia="宋体" w:cs="宋体"/>
                <w:b/>
                <w:bCs/>
                <w:color w:val="auto"/>
                <w:sz w:val="21"/>
              </w:rPr>
              <w:t>备注</w:t>
            </w:r>
          </w:p>
        </w:tc>
      </w:tr>
      <w:tr w14:paraId="1646DF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29" w:type="pct"/>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68479CC7">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21"/>
              </w:rPr>
              <w:t>肉禽类</w:t>
            </w:r>
          </w:p>
        </w:tc>
        <w:tc>
          <w:tcPr>
            <w:tcW w:w="3931" w:type="pct"/>
            <w:tcBorders>
              <w:top w:val="nil"/>
              <w:left w:val="nil"/>
              <w:bottom w:val="single" w:color="000000" w:sz="4" w:space="0"/>
              <w:right w:val="single" w:color="000000" w:sz="4" w:space="0"/>
            </w:tcBorders>
            <w:tcMar>
              <w:top w:w="0" w:type="dxa"/>
              <w:left w:w="0" w:type="dxa"/>
              <w:bottom w:w="0" w:type="dxa"/>
              <w:right w:w="0" w:type="dxa"/>
            </w:tcMar>
            <w:vAlign w:val="top"/>
          </w:tcPr>
          <w:p w14:paraId="7C3C25DB">
            <w:pPr>
              <w:pStyle w:val="7"/>
              <w:keepNext w:val="0"/>
              <w:keepLines w:val="0"/>
              <w:pageBreakBefore w:val="0"/>
              <w:kinsoku/>
              <w:wordWrap/>
              <w:overflowPunct/>
              <w:topLinePunct w:val="0"/>
              <w:bidi w:val="0"/>
              <w:snapToGrid/>
              <w:ind w:left="0"/>
              <w:jc w:val="both"/>
              <w:textAlignment w:val="auto"/>
              <w:rPr>
                <w:rFonts w:hint="eastAsia" w:ascii="宋体" w:hAnsi="宋体" w:eastAsia="宋体" w:cs="宋体"/>
                <w:color w:val="auto"/>
              </w:rPr>
            </w:pPr>
            <w:r>
              <w:rPr>
                <w:rFonts w:hint="eastAsia" w:ascii="宋体" w:hAnsi="宋体" w:eastAsia="宋体" w:cs="宋体"/>
                <w:color w:val="auto"/>
                <w:sz w:val="21"/>
              </w:rPr>
              <w:t>肉身必须盖有卫生检疫章，须出具加盖国家或地方政府监督所检疫章的动物检疫证明。肉品须表皮洁净、膘厚适中、色泽鲜亮、纹理清晰、肉质细腻、无异味、去骨、无毛、按压无水迹。</w:t>
            </w:r>
          </w:p>
        </w:tc>
        <w:tc>
          <w:tcPr>
            <w:tcW w:w="438" w:type="pct"/>
            <w:vMerge w:val="restart"/>
            <w:tcBorders>
              <w:top w:val="nil"/>
              <w:left w:val="nil"/>
              <w:bottom w:val="single" w:color="000000" w:sz="4" w:space="0"/>
              <w:right w:val="single" w:color="000000" w:sz="4" w:space="0"/>
            </w:tcBorders>
            <w:tcMar>
              <w:top w:w="0" w:type="dxa"/>
              <w:left w:w="0" w:type="dxa"/>
              <w:bottom w:w="0" w:type="dxa"/>
              <w:right w:w="0" w:type="dxa"/>
            </w:tcMar>
            <w:vAlign w:val="top"/>
          </w:tcPr>
          <w:p w14:paraId="1950725A">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0C32499C">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0F1AAF57">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66A08DFF">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4BC5A9B1">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75617E19">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4F2C898D">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51D86821">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6BEDDFA5">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7350F268">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1FC87343">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7CE9ABEB">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27CD8302">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19"/>
              </w:rPr>
              <w:t xml:space="preserve"> </w:t>
            </w:r>
          </w:p>
          <w:p w14:paraId="7420D962">
            <w:pPr>
              <w:pStyle w:val="7"/>
              <w:keepNext w:val="0"/>
              <w:keepLines w:val="0"/>
              <w:pageBreakBefore w:val="0"/>
              <w:kinsoku/>
              <w:wordWrap/>
              <w:overflowPunct/>
              <w:topLinePunct w:val="0"/>
              <w:bidi w:val="0"/>
              <w:snapToGrid/>
              <w:ind w:left="0"/>
              <w:jc w:val="left"/>
              <w:textAlignment w:val="auto"/>
              <w:rPr>
                <w:rFonts w:hint="eastAsia" w:ascii="宋体" w:hAnsi="宋体" w:eastAsia="宋体" w:cs="宋体"/>
                <w:color w:val="auto"/>
              </w:rPr>
            </w:pPr>
            <w:r>
              <w:rPr>
                <w:rFonts w:hint="eastAsia" w:ascii="宋体" w:hAnsi="宋体" w:eastAsia="宋体" w:cs="宋体"/>
                <w:color w:val="auto"/>
                <w:sz w:val="21"/>
              </w:rPr>
              <w:t>所有商品必须满足国家和地方相关规定</w:t>
            </w:r>
          </w:p>
        </w:tc>
      </w:tr>
      <w:tr w14:paraId="498E70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29" w:type="pct"/>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201BD029">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21"/>
              </w:rPr>
              <w:t>蔬菜类</w:t>
            </w:r>
          </w:p>
        </w:tc>
        <w:tc>
          <w:tcPr>
            <w:tcW w:w="3931" w:type="pct"/>
            <w:tcBorders>
              <w:top w:val="nil"/>
              <w:left w:val="nil"/>
              <w:bottom w:val="single" w:color="000000" w:sz="4" w:space="0"/>
              <w:right w:val="single" w:color="000000" w:sz="4" w:space="0"/>
            </w:tcBorders>
            <w:tcMar>
              <w:top w:w="0" w:type="dxa"/>
              <w:left w:w="0" w:type="dxa"/>
              <w:bottom w:w="0" w:type="dxa"/>
              <w:right w:w="0" w:type="dxa"/>
            </w:tcMar>
            <w:vAlign w:val="top"/>
          </w:tcPr>
          <w:p w14:paraId="37BFC6E5">
            <w:pPr>
              <w:pStyle w:val="7"/>
              <w:keepNext w:val="0"/>
              <w:keepLines w:val="0"/>
              <w:pageBreakBefore w:val="0"/>
              <w:kinsoku/>
              <w:wordWrap/>
              <w:overflowPunct/>
              <w:topLinePunct w:val="0"/>
              <w:bidi w:val="0"/>
              <w:snapToGrid/>
              <w:ind w:left="0"/>
              <w:textAlignment w:val="auto"/>
              <w:rPr>
                <w:rFonts w:hint="eastAsia" w:ascii="宋体" w:hAnsi="宋体" w:eastAsia="宋体" w:cs="宋体"/>
                <w:color w:val="auto"/>
                <w:lang w:eastAsia="zh-CN"/>
              </w:rPr>
            </w:pPr>
            <w:r>
              <w:rPr>
                <w:rFonts w:hint="eastAsia" w:ascii="宋体" w:hAnsi="宋体" w:eastAsia="宋体" w:cs="宋体"/>
                <w:color w:val="auto"/>
                <w:sz w:val="21"/>
              </w:rPr>
              <w:t>当季各类新鲜蔬菜以及大棚种植蔬菜，蔬菜类必须保证无黄叶、枯死叶、无虫、无杂质，须</w:t>
            </w:r>
            <w:r>
              <w:rPr>
                <w:rFonts w:hint="eastAsia" w:ascii="宋体" w:hAnsi="宋体" w:eastAsia="宋体" w:cs="宋体"/>
                <w:color w:val="auto"/>
                <w:sz w:val="19"/>
              </w:rPr>
              <w:t xml:space="preserve"> </w:t>
            </w:r>
            <w:r>
              <w:rPr>
                <w:rFonts w:hint="eastAsia" w:ascii="宋体" w:hAnsi="宋体" w:eastAsia="宋体" w:cs="宋体"/>
                <w:color w:val="auto"/>
                <w:sz w:val="21"/>
              </w:rPr>
              <w:t>48</w:t>
            </w:r>
            <w:r>
              <w:rPr>
                <w:rFonts w:hint="eastAsia" w:ascii="宋体" w:hAnsi="宋体" w:eastAsia="宋体" w:cs="宋体"/>
                <w:color w:val="auto"/>
                <w:sz w:val="19"/>
              </w:rPr>
              <w:t xml:space="preserve"> </w:t>
            </w:r>
            <w:r>
              <w:rPr>
                <w:rFonts w:hint="eastAsia" w:ascii="宋体" w:hAnsi="宋体" w:eastAsia="宋体" w:cs="宋体"/>
                <w:color w:val="auto"/>
                <w:sz w:val="21"/>
              </w:rPr>
              <w:t>小时内采摘供应，原菜须保证菜面干净、无明显泥土、码放整齐、无破损、大小基本</w:t>
            </w:r>
            <w:r>
              <w:rPr>
                <w:rFonts w:hint="eastAsia" w:ascii="宋体" w:hAnsi="宋体" w:eastAsia="宋体" w:cs="宋体"/>
                <w:color w:val="auto"/>
                <w:sz w:val="19"/>
              </w:rPr>
              <w:t xml:space="preserve"> </w:t>
            </w:r>
            <w:r>
              <w:rPr>
                <w:rFonts w:hint="eastAsia" w:ascii="宋体" w:hAnsi="宋体" w:eastAsia="宋体" w:cs="宋体"/>
                <w:color w:val="auto"/>
                <w:sz w:val="21"/>
              </w:rPr>
              <w:t>统一、不得过熟或欠熟；净菜须保证菜面完全干净、无泥土、</w:t>
            </w:r>
            <w:r>
              <w:rPr>
                <w:rFonts w:hint="eastAsia" w:ascii="宋体" w:hAnsi="宋体" w:eastAsia="宋体" w:cs="宋体"/>
                <w:color w:val="auto"/>
                <w:sz w:val="19"/>
              </w:rPr>
              <w:t xml:space="preserve"> </w:t>
            </w:r>
            <w:r>
              <w:rPr>
                <w:rFonts w:hint="eastAsia" w:ascii="宋体" w:hAnsi="宋体" w:eastAsia="宋体" w:cs="宋体"/>
                <w:color w:val="auto"/>
                <w:sz w:val="21"/>
              </w:rPr>
              <w:t>按统一标准加工、码放整齐、无须二次处理可以直接进行熟加工</w:t>
            </w:r>
            <w:r>
              <w:rPr>
                <w:rFonts w:hint="eastAsia" w:ascii="宋体" w:hAnsi="宋体" w:eastAsia="宋体" w:cs="宋体"/>
                <w:color w:val="auto"/>
                <w:sz w:val="21"/>
                <w:lang w:eastAsia="zh-CN"/>
              </w:rPr>
              <w:t>。</w:t>
            </w:r>
          </w:p>
        </w:tc>
        <w:tc>
          <w:tcPr>
            <w:tcW w:w="438" w:type="pct"/>
            <w:vMerge w:val="continue"/>
            <w:tcBorders>
              <w:top w:val="nil"/>
              <w:left w:val="nil"/>
              <w:bottom w:val="single" w:color="000000" w:sz="4" w:space="0"/>
              <w:right w:val="single" w:color="000000" w:sz="4" w:space="0"/>
            </w:tcBorders>
            <w:vAlign w:val="top"/>
          </w:tcPr>
          <w:p w14:paraId="3E3D5188">
            <w:pPr>
              <w:keepNext w:val="0"/>
              <w:keepLines w:val="0"/>
              <w:pageBreakBefore w:val="0"/>
              <w:kinsoku/>
              <w:wordWrap/>
              <w:overflowPunct/>
              <w:topLinePunct w:val="0"/>
              <w:bidi w:val="0"/>
              <w:snapToGrid/>
              <w:ind w:left="0"/>
              <w:textAlignment w:val="auto"/>
              <w:rPr>
                <w:rFonts w:hint="eastAsia" w:ascii="宋体" w:hAnsi="宋体" w:eastAsia="宋体" w:cs="宋体"/>
                <w:color w:val="auto"/>
              </w:rPr>
            </w:pPr>
          </w:p>
        </w:tc>
      </w:tr>
      <w:tr w14:paraId="65B2994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29" w:type="pct"/>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44CEFDCD">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21"/>
              </w:rPr>
              <w:t>蛋类</w:t>
            </w:r>
          </w:p>
        </w:tc>
        <w:tc>
          <w:tcPr>
            <w:tcW w:w="3931" w:type="pct"/>
            <w:tcBorders>
              <w:top w:val="nil"/>
              <w:left w:val="nil"/>
              <w:bottom w:val="single" w:color="000000" w:sz="4" w:space="0"/>
              <w:right w:val="single" w:color="000000" w:sz="4" w:space="0"/>
            </w:tcBorders>
            <w:tcMar>
              <w:top w:w="0" w:type="dxa"/>
              <w:left w:w="0" w:type="dxa"/>
              <w:bottom w:w="0" w:type="dxa"/>
              <w:right w:w="0" w:type="dxa"/>
            </w:tcMar>
            <w:vAlign w:val="top"/>
          </w:tcPr>
          <w:p w14:paraId="7A21008C">
            <w:pPr>
              <w:pStyle w:val="7"/>
              <w:keepNext w:val="0"/>
              <w:keepLines w:val="0"/>
              <w:pageBreakBefore w:val="0"/>
              <w:kinsoku/>
              <w:wordWrap/>
              <w:overflowPunct/>
              <w:topLinePunct w:val="0"/>
              <w:bidi w:val="0"/>
              <w:snapToGrid/>
              <w:ind w:left="0"/>
              <w:textAlignment w:val="auto"/>
              <w:rPr>
                <w:rFonts w:hint="eastAsia" w:ascii="宋体" w:hAnsi="宋体" w:eastAsia="宋体" w:cs="宋体"/>
                <w:color w:val="auto"/>
                <w:lang w:eastAsia="zh-CN"/>
              </w:rPr>
            </w:pPr>
            <w:r>
              <w:rPr>
                <w:rFonts w:hint="eastAsia" w:ascii="宋体" w:hAnsi="宋体" w:eastAsia="宋体" w:cs="宋体"/>
                <w:color w:val="auto"/>
                <w:sz w:val="21"/>
              </w:rPr>
              <w:t>鲜新、大小均匀、无破损、色泽光滑，须出具加盖地方政府监督所检疫章的动物检疫证明</w:t>
            </w:r>
            <w:r>
              <w:rPr>
                <w:rFonts w:hint="eastAsia" w:ascii="宋体" w:hAnsi="宋体" w:eastAsia="宋体" w:cs="宋体"/>
                <w:color w:val="auto"/>
                <w:sz w:val="21"/>
                <w:lang w:eastAsia="zh-CN"/>
              </w:rPr>
              <w:t>。</w:t>
            </w:r>
          </w:p>
        </w:tc>
        <w:tc>
          <w:tcPr>
            <w:tcW w:w="438" w:type="pct"/>
            <w:vMerge w:val="continue"/>
            <w:tcBorders>
              <w:top w:val="nil"/>
              <w:left w:val="nil"/>
              <w:bottom w:val="single" w:color="000000" w:sz="4" w:space="0"/>
              <w:right w:val="single" w:color="000000" w:sz="4" w:space="0"/>
            </w:tcBorders>
            <w:vAlign w:val="top"/>
          </w:tcPr>
          <w:p w14:paraId="6B194A6B">
            <w:pPr>
              <w:keepNext w:val="0"/>
              <w:keepLines w:val="0"/>
              <w:pageBreakBefore w:val="0"/>
              <w:kinsoku/>
              <w:wordWrap/>
              <w:overflowPunct/>
              <w:topLinePunct w:val="0"/>
              <w:bidi w:val="0"/>
              <w:snapToGrid/>
              <w:ind w:left="0"/>
              <w:textAlignment w:val="auto"/>
              <w:rPr>
                <w:rFonts w:hint="eastAsia" w:ascii="宋体" w:hAnsi="宋体" w:eastAsia="宋体" w:cs="宋体"/>
                <w:color w:val="auto"/>
              </w:rPr>
            </w:pPr>
          </w:p>
        </w:tc>
      </w:tr>
      <w:tr w14:paraId="76FD0B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29" w:type="pct"/>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6F609CAC">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21"/>
              </w:rPr>
              <w:t>豆制品</w:t>
            </w:r>
          </w:p>
        </w:tc>
        <w:tc>
          <w:tcPr>
            <w:tcW w:w="3931" w:type="pct"/>
            <w:tcBorders>
              <w:top w:val="nil"/>
              <w:left w:val="nil"/>
              <w:bottom w:val="single" w:color="000000" w:sz="4" w:space="0"/>
              <w:right w:val="single" w:color="000000" w:sz="4" w:space="0"/>
            </w:tcBorders>
            <w:tcMar>
              <w:top w:w="0" w:type="dxa"/>
              <w:left w:w="0" w:type="dxa"/>
              <w:bottom w:w="0" w:type="dxa"/>
              <w:right w:w="0" w:type="dxa"/>
            </w:tcMar>
            <w:vAlign w:val="top"/>
          </w:tcPr>
          <w:p w14:paraId="414D1184">
            <w:pPr>
              <w:pStyle w:val="7"/>
              <w:keepNext w:val="0"/>
              <w:keepLines w:val="0"/>
              <w:pageBreakBefore w:val="0"/>
              <w:kinsoku/>
              <w:wordWrap/>
              <w:overflowPunct/>
              <w:topLinePunct w:val="0"/>
              <w:bidi w:val="0"/>
              <w:snapToGrid/>
              <w:ind w:left="0"/>
              <w:jc w:val="both"/>
              <w:textAlignment w:val="auto"/>
              <w:rPr>
                <w:rFonts w:hint="eastAsia" w:ascii="宋体" w:hAnsi="宋体" w:eastAsia="宋体" w:cs="宋体"/>
                <w:color w:val="auto"/>
                <w:lang w:eastAsia="zh-CN"/>
              </w:rPr>
            </w:pPr>
            <w:r>
              <w:rPr>
                <w:rFonts w:hint="eastAsia" w:ascii="宋体" w:hAnsi="宋体" w:eastAsia="宋体" w:cs="宋体"/>
                <w:color w:val="auto"/>
                <w:sz w:val="21"/>
              </w:rPr>
              <w:t>豆腐、豆腐干、绿豆芽、黄豆芽、红豆等；须保证食材干</w:t>
            </w:r>
            <w:r>
              <w:rPr>
                <w:rFonts w:hint="eastAsia" w:ascii="宋体" w:hAnsi="宋体" w:eastAsia="宋体" w:cs="宋体"/>
                <w:color w:val="auto"/>
                <w:sz w:val="19"/>
              </w:rPr>
              <w:t xml:space="preserve"> </w:t>
            </w:r>
            <w:r>
              <w:rPr>
                <w:rFonts w:hint="eastAsia" w:ascii="宋体" w:hAnsi="宋体" w:eastAsia="宋体" w:cs="宋体"/>
                <w:color w:val="auto"/>
                <w:sz w:val="21"/>
              </w:rPr>
              <w:t>净、不含非食品用化学物质、按统一标准加工、码放整齐、无</w:t>
            </w:r>
            <w:r>
              <w:rPr>
                <w:rFonts w:hint="eastAsia" w:ascii="宋体" w:hAnsi="宋体" w:eastAsia="宋体" w:cs="宋体"/>
                <w:color w:val="auto"/>
                <w:sz w:val="19"/>
              </w:rPr>
              <w:t xml:space="preserve"> </w:t>
            </w:r>
            <w:r>
              <w:rPr>
                <w:rFonts w:hint="eastAsia" w:ascii="宋体" w:hAnsi="宋体" w:eastAsia="宋体" w:cs="宋体"/>
                <w:color w:val="auto"/>
                <w:sz w:val="21"/>
              </w:rPr>
              <w:t>须二次处理可以直接进行熟加工</w:t>
            </w:r>
            <w:r>
              <w:rPr>
                <w:rFonts w:hint="eastAsia" w:ascii="宋体" w:hAnsi="宋体" w:eastAsia="宋体" w:cs="宋体"/>
                <w:color w:val="auto"/>
                <w:sz w:val="21"/>
                <w:lang w:eastAsia="zh-CN"/>
              </w:rPr>
              <w:t>。</w:t>
            </w:r>
          </w:p>
        </w:tc>
        <w:tc>
          <w:tcPr>
            <w:tcW w:w="438" w:type="pct"/>
            <w:vMerge w:val="continue"/>
            <w:tcBorders>
              <w:top w:val="nil"/>
              <w:left w:val="nil"/>
              <w:bottom w:val="single" w:color="000000" w:sz="4" w:space="0"/>
              <w:right w:val="single" w:color="000000" w:sz="4" w:space="0"/>
            </w:tcBorders>
            <w:vAlign w:val="top"/>
          </w:tcPr>
          <w:p w14:paraId="53DC9F9E">
            <w:pPr>
              <w:keepNext w:val="0"/>
              <w:keepLines w:val="0"/>
              <w:pageBreakBefore w:val="0"/>
              <w:kinsoku/>
              <w:wordWrap/>
              <w:overflowPunct/>
              <w:topLinePunct w:val="0"/>
              <w:bidi w:val="0"/>
              <w:snapToGrid/>
              <w:ind w:left="0"/>
              <w:textAlignment w:val="auto"/>
              <w:rPr>
                <w:rFonts w:hint="eastAsia" w:ascii="宋体" w:hAnsi="宋体" w:eastAsia="宋体" w:cs="宋体"/>
                <w:color w:val="auto"/>
              </w:rPr>
            </w:pPr>
          </w:p>
        </w:tc>
      </w:tr>
      <w:tr w14:paraId="59F5C9B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29" w:type="pct"/>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F3C56AE">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21"/>
              </w:rPr>
              <w:t>水果</w:t>
            </w:r>
          </w:p>
        </w:tc>
        <w:tc>
          <w:tcPr>
            <w:tcW w:w="3931" w:type="pct"/>
            <w:tcBorders>
              <w:top w:val="nil"/>
              <w:left w:val="nil"/>
              <w:bottom w:val="single" w:color="000000" w:sz="4" w:space="0"/>
              <w:right w:val="single" w:color="000000" w:sz="4" w:space="0"/>
            </w:tcBorders>
            <w:tcMar>
              <w:top w:w="0" w:type="dxa"/>
              <w:left w:w="0" w:type="dxa"/>
              <w:bottom w:w="0" w:type="dxa"/>
              <w:right w:w="0" w:type="dxa"/>
            </w:tcMar>
            <w:vAlign w:val="top"/>
          </w:tcPr>
          <w:p w14:paraId="20C3B91C">
            <w:pPr>
              <w:pStyle w:val="7"/>
              <w:keepNext w:val="0"/>
              <w:keepLines w:val="0"/>
              <w:pageBreakBefore w:val="0"/>
              <w:kinsoku/>
              <w:wordWrap/>
              <w:overflowPunct/>
              <w:topLinePunct w:val="0"/>
              <w:bidi w:val="0"/>
              <w:snapToGrid/>
              <w:ind w:left="0"/>
              <w:textAlignment w:val="auto"/>
              <w:rPr>
                <w:rFonts w:hint="eastAsia" w:ascii="宋体" w:hAnsi="宋体" w:eastAsia="宋体" w:cs="宋体"/>
                <w:color w:val="auto"/>
                <w:lang w:eastAsia="zh-CN"/>
              </w:rPr>
            </w:pPr>
            <w:r>
              <w:rPr>
                <w:rFonts w:hint="eastAsia" w:ascii="宋体" w:hAnsi="宋体" w:eastAsia="宋体" w:cs="宋体"/>
                <w:color w:val="auto"/>
                <w:sz w:val="21"/>
              </w:rPr>
              <w:t>当即各类水果，无虫、无杂质，须</w:t>
            </w:r>
            <w:r>
              <w:rPr>
                <w:rFonts w:hint="eastAsia" w:ascii="宋体" w:hAnsi="宋体" w:eastAsia="宋体" w:cs="宋体"/>
                <w:color w:val="auto"/>
                <w:sz w:val="19"/>
              </w:rPr>
              <w:t xml:space="preserve"> </w:t>
            </w:r>
            <w:r>
              <w:rPr>
                <w:rFonts w:hint="eastAsia" w:ascii="宋体" w:hAnsi="宋体" w:eastAsia="宋体" w:cs="宋体"/>
                <w:color w:val="auto"/>
                <w:sz w:val="21"/>
              </w:rPr>
              <w:t>48</w:t>
            </w:r>
            <w:r>
              <w:rPr>
                <w:rFonts w:hint="eastAsia" w:ascii="宋体" w:hAnsi="宋体" w:eastAsia="宋体" w:cs="宋体"/>
                <w:color w:val="auto"/>
                <w:sz w:val="19"/>
              </w:rPr>
              <w:t xml:space="preserve"> </w:t>
            </w:r>
            <w:r>
              <w:rPr>
                <w:rFonts w:hint="eastAsia" w:ascii="宋体" w:hAnsi="宋体" w:eastAsia="宋体" w:cs="宋体"/>
                <w:color w:val="auto"/>
                <w:sz w:val="21"/>
              </w:rPr>
              <w:t>小时内采摘供应，原水果须保证果面干净、无明显泥土、码放整齐、无破损、大小基本统一、不得过熟或欠熟</w:t>
            </w:r>
            <w:r>
              <w:rPr>
                <w:rFonts w:hint="eastAsia" w:ascii="宋体" w:hAnsi="宋体" w:eastAsia="宋体" w:cs="宋体"/>
                <w:color w:val="auto"/>
                <w:sz w:val="21"/>
                <w:lang w:eastAsia="zh-CN"/>
              </w:rPr>
              <w:t>。</w:t>
            </w:r>
          </w:p>
        </w:tc>
        <w:tc>
          <w:tcPr>
            <w:tcW w:w="438" w:type="pct"/>
            <w:vMerge w:val="continue"/>
            <w:tcBorders>
              <w:top w:val="nil"/>
              <w:left w:val="nil"/>
              <w:bottom w:val="single" w:color="000000" w:sz="4" w:space="0"/>
              <w:right w:val="single" w:color="000000" w:sz="4" w:space="0"/>
            </w:tcBorders>
            <w:vAlign w:val="top"/>
          </w:tcPr>
          <w:p w14:paraId="30F8A90A">
            <w:pPr>
              <w:keepNext w:val="0"/>
              <w:keepLines w:val="0"/>
              <w:pageBreakBefore w:val="0"/>
              <w:kinsoku/>
              <w:wordWrap/>
              <w:overflowPunct/>
              <w:topLinePunct w:val="0"/>
              <w:bidi w:val="0"/>
              <w:snapToGrid/>
              <w:ind w:left="0"/>
              <w:textAlignment w:val="auto"/>
              <w:rPr>
                <w:rFonts w:hint="eastAsia" w:ascii="宋体" w:hAnsi="宋体" w:eastAsia="宋体" w:cs="宋体"/>
                <w:color w:val="auto"/>
              </w:rPr>
            </w:pPr>
          </w:p>
        </w:tc>
      </w:tr>
      <w:tr w14:paraId="2F60BD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29" w:type="pct"/>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38A31DBB">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21"/>
              </w:rPr>
              <w:t>米线</w:t>
            </w:r>
          </w:p>
        </w:tc>
        <w:tc>
          <w:tcPr>
            <w:tcW w:w="3931" w:type="pct"/>
            <w:tcBorders>
              <w:top w:val="nil"/>
              <w:left w:val="nil"/>
              <w:bottom w:val="single" w:color="000000" w:sz="4" w:space="0"/>
              <w:right w:val="single" w:color="000000" w:sz="4" w:space="0"/>
            </w:tcBorders>
            <w:tcMar>
              <w:top w:w="0" w:type="dxa"/>
              <w:left w:w="0" w:type="dxa"/>
              <w:bottom w:w="0" w:type="dxa"/>
              <w:right w:w="0" w:type="dxa"/>
            </w:tcMar>
            <w:vAlign w:val="top"/>
          </w:tcPr>
          <w:p w14:paraId="03387ABE">
            <w:pPr>
              <w:pStyle w:val="7"/>
              <w:keepNext w:val="0"/>
              <w:keepLines w:val="0"/>
              <w:pageBreakBefore w:val="0"/>
              <w:kinsoku/>
              <w:wordWrap/>
              <w:overflowPunct/>
              <w:topLinePunct w:val="0"/>
              <w:bidi w:val="0"/>
              <w:snapToGrid/>
              <w:ind w:left="0"/>
              <w:jc w:val="both"/>
              <w:textAlignment w:val="auto"/>
              <w:rPr>
                <w:rFonts w:hint="eastAsia" w:ascii="宋体" w:hAnsi="宋体" w:eastAsia="宋体" w:cs="宋体"/>
                <w:color w:val="auto"/>
                <w:lang w:eastAsia="zh-CN"/>
              </w:rPr>
            </w:pPr>
            <w:r>
              <w:rPr>
                <w:rFonts w:hint="eastAsia" w:ascii="宋体" w:hAnsi="宋体" w:eastAsia="宋体" w:cs="宋体"/>
                <w:color w:val="auto"/>
                <w:sz w:val="21"/>
              </w:rPr>
              <w:t>米线；要求原材料不含非食品用化学物质、不掺假、不过期、不变质、不变味、无杂质、无毒害，符合国家食品行业的标准</w:t>
            </w:r>
            <w:r>
              <w:rPr>
                <w:rFonts w:hint="eastAsia" w:ascii="宋体" w:hAnsi="宋体" w:eastAsia="宋体" w:cs="宋体"/>
                <w:color w:val="auto"/>
                <w:sz w:val="21"/>
                <w:lang w:eastAsia="zh-CN"/>
              </w:rPr>
              <w:t>。</w:t>
            </w:r>
          </w:p>
        </w:tc>
        <w:tc>
          <w:tcPr>
            <w:tcW w:w="438" w:type="pct"/>
            <w:vMerge w:val="continue"/>
            <w:tcBorders>
              <w:top w:val="nil"/>
              <w:left w:val="nil"/>
              <w:bottom w:val="single" w:color="000000" w:sz="4" w:space="0"/>
              <w:right w:val="single" w:color="000000" w:sz="4" w:space="0"/>
            </w:tcBorders>
            <w:vAlign w:val="top"/>
          </w:tcPr>
          <w:p w14:paraId="1E269302">
            <w:pPr>
              <w:keepNext w:val="0"/>
              <w:keepLines w:val="0"/>
              <w:pageBreakBefore w:val="0"/>
              <w:kinsoku/>
              <w:wordWrap/>
              <w:overflowPunct/>
              <w:topLinePunct w:val="0"/>
              <w:bidi w:val="0"/>
              <w:snapToGrid/>
              <w:ind w:left="0"/>
              <w:textAlignment w:val="auto"/>
              <w:rPr>
                <w:rFonts w:hint="eastAsia" w:ascii="宋体" w:hAnsi="宋体" w:eastAsia="宋体" w:cs="宋体"/>
                <w:color w:val="auto"/>
              </w:rPr>
            </w:pPr>
          </w:p>
        </w:tc>
      </w:tr>
      <w:tr w14:paraId="0B8643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29" w:type="pct"/>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00D5DD28">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21"/>
              </w:rPr>
              <w:t>水产品</w:t>
            </w:r>
          </w:p>
        </w:tc>
        <w:tc>
          <w:tcPr>
            <w:tcW w:w="3931" w:type="pct"/>
            <w:tcBorders>
              <w:top w:val="nil"/>
              <w:left w:val="nil"/>
              <w:bottom w:val="single" w:color="000000" w:sz="4" w:space="0"/>
              <w:right w:val="single" w:color="000000" w:sz="4" w:space="0"/>
            </w:tcBorders>
            <w:tcMar>
              <w:top w:w="0" w:type="dxa"/>
              <w:left w:w="0" w:type="dxa"/>
              <w:bottom w:w="0" w:type="dxa"/>
              <w:right w:w="0" w:type="dxa"/>
            </w:tcMar>
            <w:vAlign w:val="top"/>
          </w:tcPr>
          <w:p w14:paraId="0944FC78">
            <w:pPr>
              <w:pStyle w:val="7"/>
              <w:keepNext w:val="0"/>
              <w:keepLines w:val="0"/>
              <w:pageBreakBefore w:val="0"/>
              <w:kinsoku/>
              <w:wordWrap/>
              <w:overflowPunct/>
              <w:topLinePunct w:val="0"/>
              <w:bidi w:val="0"/>
              <w:snapToGrid/>
              <w:ind w:left="0"/>
              <w:textAlignment w:val="auto"/>
              <w:rPr>
                <w:rFonts w:hint="eastAsia" w:ascii="宋体" w:hAnsi="宋体" w:eastAsia="宋体" w:cs="宋体"/>
                <w:color w:val="auto"/>
                <w:lang w:eastAsia="zh-CN"/>
              </w:rPr>
            </w:pPr>
            <w:r>
              <w:rPr>
                <w:rFonts w:hint="eastAsia" w:ascii="宋体" w:hAnsi="宋体" w:eastAsia="宋体" w:cs="宋体"/>
                <w:color w:val="auto"/>
                <w:sz w:val="21"/>
              </w:rPr>
              <w:t>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w:t>
            </w:r>
            <w:r>
              <w:rPr>
                <w:rFonts w:hint="eastAsia" w:ascii="宋体" w:hAnsi="宋体" w:eastAsia="宋体" w:cs="宋体"/>
                <w:color w:val="auto"/>
                <w:sz w:val="21"/>
                <w:lang w:eastAsia="zh-CN"/>
              </w:rPr>
              <w:t>。</w:t>
            </w:r>
          </w:p>
        </w:tc>
        <w:tc>
          <w:tcPr>
            <w:tcW w:w="438" w:type="pct"/>
            <w:vMerge w:val="continue"/>
            <w:tcBorders>
              <w:top w:val="nil"/>
              <w:left w:val="nil"/>
              <w:bottom w:val="single" w:color="000000" w:sz="4" w:space="0"/>
              <w:right w:val="single" w:color="000000" w:sz="4" w:space="0"/>
            </w:tcBorders>
            <w:vAlign w:val="top"/>
          </w:tcPr>
          <w:p w14:paraId="4DCF1DFF">
            <w:pPr>
              <w:keepNext w:val="0"/>
              <w:keepLines w:val="0"/>
              <w:pageBreakBefore w:val="0"/>
              <w:kinsoku/>
              <w:wordWrap/>
              <w:overflowPunct/>
              <w:topLinePunct w:val="0"/>
              <w:bidi w:val="0"/>
              <w:snapToGrid/>
              <w:ind w:left="0"/>
              <w:textAlignment w:val="auto"/>
              <w:rPr>
                <w:rFonts w:hint="eastAsia" w:ascii="宋体" w:hAnsi="宋体" w:eastAsia="宋体" w:cs="宋体"/>
                <w:color w:val="auto"/>
              </w:rPr>
            </w:pPr>
          </w:p>
        </w:tc>
      </w:tr>
      <w:tr w14:paraId="3D18E10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29" w:type="pct"/>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79DCC962">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21"/>
              </w:rPr>
              <w:t>冻品</w:t>
            </w:r>
          </w:p>
        </w:tc>
        <w:tc>
          <w:tcPr>
            <w:tcW w:w="3931" w:type="pct"/>
            <w:tcBorders>
              <w:top w:val="nil"/>
              <w:left w:val="nil"/>
              <w:bottom w:val="single" w:color="000000" w:sz="4" w:space="0"/>
              <w:right w:val="single" w:color="000000" w:sz="4" w:space="0"/>
            </w:tcBorders>
            <w:tcMar>
              <w:top w:w="0" w:type="dxa"/>
              <w:left w:w="0" w:type="dxa"/>
              <w:bottom w:w="0" w:type="dxa"/>
              <w:right w:w="0" w:type="dxa"/>
            </w:tcMar>
            <w:vAlign w:val="top"/>
          </w:tcPr>
          <w:p w14:paraId="77E58FBC">
            <w:pPr>
              <w:pStyle w:val="7"/>
              <w:keepNext w:val="0"/>
              <w:keepLines w:val="0"/>
              <w:pageBreakBefore w:val="0"/>
              <w:kinsoku/>
              <w:wordWrap/>
              <w:overflowPunct/>
              <w:topLinePunct w:val="0"/>
              <w:bidi w:val="0"/>
              <w:snapToGrid/>
              <w:ind w:left="0"/>
              <w:jc w:val="both"/>
              <w:textAlignment w:val="auto"/>
              <w:rPr>
                <w:rFonts w:hint="eastAsia" w:ascii="宋体" w:hAnsi="宋体" w:eastAsia="宋体" w:cs="宋体"/>
                <w:color w:val="auto"/>
                <w:lang w:eastAsia="zh-CN"/>
              </w:rPr>
            </w:pPr>
            <w:r>
              <w:rPr>
                <w:rFonts w:hint="eastAsia" w:ascii="宋体" w:hAnsi="宋体" w:eastAsia="宋体" w:cs="宋体"/>
                <w:color w:val="auto"/>
                <w:sz w:val="21"/>
              </w:rPr>
              <w:t>冻品外包装需完整，无破损，无不封口现象，有生产日期。冻品在解冻后，发现质量问题需退货。符合国家绿色批发市场标准，应具备满足交易需要的冷冻贮藏设施</w:t>
            </w:r>
            <w:r>
              <w:rPr>
                <w:rFonts w:hint="eastAsia" w:ascii="宋体" w:hAnsi="宋体" w:eastAsia="宋体" w:cs="宋体"/>
                <w:color w:val="auto"/>
                <w:sz w:val="21"/>
                <w:lang w:eastAsia="zh-CN"/>
              </w:rPr>
              <w:t>。</w:t>
            </w:r>
          </w:p>
        </w:tc>
        <w:tc>
          <w:tcPr>
            <w:tcW w:w="438" w:type="pct"/>
            <w:vMerge w:val="continue"/>
            <w:tcBorders>
              <w:top w:val="nil"/>
              <w:left w:val="nil"/>
              <w:bottom w:val="single" w:color="000000" w:sz="4" w:space="0"/>
              <w:right w:val="single" w:color="000000" w:sz="4" w:space="0"/>
            </w:tcBorders>
            <w:vAlign w:val="top"/>
          </w:tcPr>
          <w:p w14:paraId="74B22682">
            <w:pPr>
              <w:keepNext w:val="0"/>
              <w:keepLines w:val="0"/>
              <w:pageBreakBefore w:val="0"/>
              <w:kinsoku/>
              <w:wordWrap/>
              <w:overflowPunct/>
              <w:topLinePunct w:val="0"/>
              <w:bidi w:val="0"/>
              <w:snapToGrid/>
              <w:ind w:left="0"/>
              <w:textAlignment w:val="auto"/>
              <w:rPr>
                <w:rFonts w:hint="eastAsia" w:ascii="宋体" w:hAnsi="宋体" w:eastAsia="宋体" w:cs="宋体"/>
                <w:color w:val="auto"/>
              </w:rPr>
            </w:pPr>
          </w:p>
        </w:tc>
      </w:tr>
      <w:tr w14:paraId="53C785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29" w:type="pct"/>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5030A100">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21"/>
              </w:rPr>
              <w:t>调料</w:t>
            </w:r>
          </w:p>
        </w:tc>
        <w:tc>
          <w:tcPr>
            <w:tcW w:w="3931" w:type="pct"/>
            <w:tcBorders>
              <w:top w:val="nil"/>
              <w:left w:val="nil"/>
              <w:bottom w:val="single" w:color="000000" w:sz="4" w:space="0"/>
              <w:right w:val="single" w:color="000000" w:sz="4" w:space="0"/>
            </w:tcBorders>
            <w:tcMar>
              <w:top w:w="0" w:type="dxa"/>
              <w:left w:w="0" w:type="dxa"/>
              <w:bottom w:w="0" w:type="dxa"/>
              <w:right w:w="0" w:type="dxa"/>
            </w:tcMar>
            <w:vAlign w:val="top"/>
          </w:tcPr>
          <w:p w14:paraId="6F8D6041">
            <w:pPr>
              <w:pStyle w:val="7"/>
              <w:keepNext w:val="0"/>
              <w:keepLines w:val="0"/>
              <w:pageBreakBefore w:val="0"/>
              <w:kinsoku/>
              <w:wordWrap/>
              <w:overflowPunct/>
              <w:topLinePunct w:val="0"/>
              <w:bidi w:val="0"/>
              <w:snapToGrid/>
              <w:ind w:left="0"/>
              <w:textAlignment w:val="auto"/>
              <w:rPr>
                <w:rFonts w:hint="eastAsia" w:ascii="宋体" w:hAnsi="宋体" w:eastAsia="宋体" w:cs="宋体"/>
                <w:color w:val="auto"/>
              </w:rPr>
            </w:pPr>
            <w:r>
              <w:rPr>
                <w:rFonts w:hint="eastAsia" w:ascii="宋体" w:hAnsi="宋体" w:eastAsia="宋体" w:cs="宋体"/>
                <w:color w:val="auto"/>
                <w:sz w:val="21"/>
              </w:rPr>
              <w:t>外包装无污物、无泄漏，无胀袋或胖听或鼓盖现象，无变质发霉现象。</w:t>
            </w:r>
          </w:p>
          <w:p w14:paraId="4DEAC563">
            <w:pPr>
              <w:pStyle w:val="7"/>
              <w:keepNext w:val="0"/>
              <w:keepLines w:val="0"/>
              <w:pageBreakBefore w:val="0"/>
              <w:kinsoku/>
              <w:wordWrap/>
              <w:overflowPunct/>
              <w:topLinePunct w:val="0"/>
              <w:bidi w:val="0"/>
              <w:snapToGrid/>
              <w:ind w:left="0"/>
              <w:textAlignment w:val="auto"/>
              <w:rPr>
                <w:rFonts w:hint="eastAsia" w:ascii="宋体" w:hAnsi="宋体" w:eastAsia="宋体" w:cs="宋体"/>
                <w:color w:val="auto"/>
                <w:lang w:eastAsia="zh-CN"/>
              </w:rPr>
            </w:pPr>
            <w:r>
              <w:rPr>
                <w:rFonts w:hint="eastAsia" w:ascii="宋体" w:hAnsi="宋体" w:eastAsia="宋体" w:cs="宋体"/>
                <w:color w:val="auto"/>
                <w:sz w:val="21"/>
              </w:rPr>
              <w:t>色泽正常，具有该品种固有的香味，滋味无异味，油酱均匀的酱体或无结块的粉状固体，封口平整，无破包，夹包，漏包，无污染</w:t>
            </w:r>
            <w:r>
              <w:rPr>
                <w:rFonts w:hint="eastAsia" w:ascii="宋体" w:hAnsi="宋体" w:eastAsia="宋体" w:cs="宋体"/>
                <w:color w:val="auto"/>
                <w:sz w:val="21"/>
                <w:lang w:eastAsia="zh-CN"/>
              </w:rPr>
              <w:t>。</w:t>
            </w:r>
          </w:p>
        </w:tc>
        <w:tc>
          <w:tcPr>
            <w:tcW w:w="438" w:type="pct"/>
            <w:vMerge w:val="continue"/>
            <w:tcBorders>
              <w:top w:val="nil"/>
              <w:left w:val="nil"/>
              <w:bottom w:val="single" w:color="000000" w:sz="4" w:space="0"/>
              <w:right w:val="single" w:color="000000" w:sz="4" w:space="0"/>
            </w:tcBorders>
            <w:vAlign w:val="top"/>
          </w:tcPr>
          <w:p w14:paraId="6D017690">
            <w:pPr>
              <w:keepNext w:val="0"/>
              <w:keepLines w:val="0"/>
              <w:pageBreakBefore w:val="0"/>
              <w:kinsoku/>
              <w:wordWrap/>
              <w:overflowPunct/>
              <w:topLinePunct w:val="0"/>
              <w:bidi w:val="0"/>
              <w:snapToGrid/>
              <w:ind w:left="0"/>
              <w:textAlignment w:val="auto"/>
              <w:rPr>
                <w:rFonts w:hint="eastAsia" w:ascii="宋体" w:hAnsi="宋体" w:eastAsia="宋体" w:cs="宋体"/>
                <w:color w:val="auto"/>
              </w:rPr>
            </w:pPr>
          </w:p>
        </w:tc>
      </w:tr>
      <w:tr w14:paraId="4E7D8F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29" w:type="pct"/>
            <w:tcBorders>
              <w:top w:val="nil"/>
              <w:left w:val="single" w:color="000000" w:sz="4" w:space="0"/>
              <w:bottom w:val="single" w:color="000000" w:sz="4" w:space="0"/>
              <w:right w:val="single" w:color="000000" w:sz="4" w:space="0"/>
            </w:tcBorders>
            <w:tcMar>
              <w:top w:w="0" w:type="dxa"/>
              <w:left w:w="0" w:type="dxa"/>
              <w:bottom w:w="0" w:type="dxa"/>
              <w:right w:w="0" w:type="dxa"/>
            </w:tcMar>
            <w:vAlign w:val="center"/>
          </w:tcPr>
          <w:p w14:paraId="2A2D400D">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21"/>
              </w:rPr>
              <w:t>副食及</w:t>
            </w:r>
          </w:p>
          <w:p w14:paraId="7325FC33">
            <w:pPr>
              <w:pStyle w:val="7"/>
              <w:keepNext w:val="0"/>
              <w:keepLines w:val="0"/>
              <w:pageBreakBefore w:val="0"/>
              <w:kinsoku/>
              <w:wordWrap/>
              <w:overflowPunct/>
              <w:topLinePunct w:val="0"/>
              <w:bidi w:val="0"/>
              <w:snapToGrid/>
              <w:ind w:left="0"/>
              <w:jc w:val="center"/>
              <w:textAlignment w:val="auto"/>
              <w:rPr>
                <w:rFonts w:hint="eastAsia" w:ascii="宋体" w:hAnsi="宋体" w:eastAsia="宋体" w:cs="宋体"/>
                <w:color w:val="auto"/>
              </w:rPr>
            </w:pPr>
            <w:r>
              <w:rPr>
                <w:rFonts w:hint="eastAsia" w:ascii="宋体" w:hAnsi="宋体" w:eastAsia="宋体" w:cs="宋体"/>
                <w:color w:val="auto"/>
                <w:sz w:val="21"/>
              </w:rPr>
              <w:t>其他</w:t>
            </w:r>
          </w:p>
        </w:tc>
        <w:tc>
          <w:tcPr>
            <w:tcW w:w="3931" w:type="pct"/>
            <w:tcBorders>
              <w:top w:val="nil"/>
              <w:left w:val="nil"/>
              <w:bottom w:val="single" w:color="000000" w:sz="4" w:space="0"/>
              <w:right w:val="single" w:color="000000" w:sz="4" w:space="0"/>
            </w:tcBorders>
            <w:tcMar>
              <w:top w:w="0" w:type="dxa"/>
              <w:left w:w="0" w:type="dxa"/>
              <w:bottom w:w="0" w:type="dxa"/>
              <w:right w:w="0" w:type="dxa"/>
            </w:tcMar>
            <w:vAlign w:val="top"/>
          </w:tcPr>
          <w:p w14:paraId="2AB25B4C">
            <w:pPr>
              <w:pStyle w:val="7"/>
              <w:keepNext w:val="0"/>
              <w:keepLines w:val="0"/>
              <w:pageBreakBefore w:val="0"/>
              <w:kinsoku/>
              <w:wordWrap/>
              <w:overflowPunct/>
              <w:topLinePunct w:val="0"/>
              <w:bidi w:val="0"/>
              <w:snapToGrid/>
              <w:ind w:left="0"/>
              <w:textAlignment w:val="auto"/>
              <w:rPr>
                <w:rFonts w:hint="eastAsia" w:ascii="宋体" w:hAnsi="宋体" w:eastAsia="宋体" w:cs="宋体"/>
                <w:color w:val="auto"/>
              </w:rPr>
            </w:pPr>
            <w:r>
              <w:rPr>
                <w:rFonts w:hint="eastAsia" w:ascii="宋体" w:hAnsi="宋体" w:eastAsia="宋体" w:cs="宋体"/>
                <w:color w:val="auto"/>
                <w:sz w:val="21"/>
              </w:rPr>
              <w:t>须保证食材干净、不含非食品用化学物质、按统一标准加工、码放整齐、无须二次处理可以直接进行熟加工。</w:t>
            </w:r>
          </w:p>
        </w:tc>
        <w:tc>
          <w:tcPr>
            <w:tcW w:w="438" w:type="pct"/>
            <w:vMerge w:val="continue"/>
            <w:tcBorders>
              <w:top w:val="nil"/>
              <w:left w:val="nil"/>
              <w:bottom w:val="single" w:color="000000" w:sz="4" w:space="0"/>
              <w:right w:val="single" w:color="000000" w:sz="4" w:space="0"/>
            </w:tcBorders>
            <w:vAlign w:val="top"/>
          </w:tcPr>
          <w:p w14:paraId="71CB9DE8">
            <w:pPr>
              <w:keepNext w:val="0"/>
              <w:keepLines w:val="0"/>
              <w:pageBreakBefore w:val="0"/>
              <w:kinsoku/>
              <w:wordWrap/>
              <w:overflowPunct/>
              <w:topLinePunct w:val="0"/>
              <w:bidi w:val="0"/>
              <w:snapToGrid/>
              <w:ind w:left="0"/>
              <w:textAlignment w:val="auto"/>
              <w:rPr>
                <w:rFonts w:hint="eastAsia" w:ascii="宋体" w:hAnsi="宋体" w:eastAsia="宋体" w:cs="宋体"/>
                <w:color w:val="auto"/>
              </w:rPr>
            </w:pPr>
          </w:p>
        </w:tc>
      </w:tr>
    </w:tbl>
    <w:p w14:paraId="4F639B4B">
      <w:pPr>
        <w:spacing w:line="360" w:lineRule="auto"/>
        <w:ind w:firstLine="422" w:firstLineChars="200"/>
        <w:rPr>
          <w:rFonts w:ascii="宋体" w:hAnsi="宋体" w:cs="宋体"/>
          <w:b/>
          <w:color w:val="auto"/>
          <w:sz w:val="21"/>
          <w:szCs w:val="21"/>
          <w:highlight w:val="none"/>
        </w:rPr>
      </w:pPr>
      <w:r>
        <w:rPr>
          <w:rFonts w:hint="eastAsia" w:ascii="宋体" w:hAnsi="宋体" w:cs="宋体"/>
          <w:b/>
          <w:color w:val="auto"/>
          <w:sz w:val="21"/>
          <w:szCs w:val="21"/>
          <w:highlight w:val="none"/>
          <w:lang w:val="en-US" w:eastAsia="zh-CN"/>
        </w:rPr>
        <w:t>六</w:t>
      </w:r>
      <w:r>
        <w:rPr>
          <w:rFonts w:hint="eastAsia" w:ascii="宋体" w:hAnsi="宋体" w:cs="宋体"/>
          <w:b/>
          <w:color w:val="auto"/>
          <w:sz w:val="21"/>
          <w:szCs w:val="21"/>
          <w:highlight w:val="none"/>
        </w:rPr>
        <w:t>、包装要求</w:t>
      </w:r>
    </w:p>
    <w:p w14:paraId="23646D37">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1、货物包装应完好无破漏，可视的内容物无腐败霉变或影响使用的变型，不存在危及人身、财产安全的不合理危险。</w:t>
      </w:r>
    </w:p>
    <w:p w14:paraId="2D7DE99E">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2、食品包装标签应符合《食品安全国家标准预包装食品标签通则》（GB7718-20</w:t>
      </w:r>
      <w:r>
        <w:rPr>
          <w:rFonts w:hint="eastAsia" w:ascii="宋体" w:hAnsi="宋体" w:cs="宋体"/>
          <w:bCs/>
          <w:color w:val="auto"/>
          <w:sz w:val="21"/>
          <w:szCs w:val="21"/>
          <w:highlight w:val="none"/>
          <w:lang w:val="en-US" w:eastAsia="zh-CN"/>
        </w:rPr>
        <w:t>25</w:t>
      </w:r>
      <w:bookmarkStart w:id="0" w:name="_GoBack"/>
      <w:bookmarkEnd w:id="0"/>
      <w:r>
        <w:rPr>
          <w:rFonts w:hint="eastAsia" w:ascii="宋体" w:hAnsi="宋体" w:cs="宋体"/>
          <w:bCs/>
          <w:color w:val="auto"/>
          <w:sz w:val="21"/>
          <w:szCs w:val="21"/>
          <w:highlight w:val="none"/>
        </w:rPr>
        <w:t>）要求，包括食品名称、配料表、净含量、规格、制造商（或）经销者 的名称、地址和联系方式、生产日期和保质期、贮存条件、食品生产许可证编号、产品标准代号等内容。</w:t>
      </w:r>
    </w:p>
    <w:p w14:paraId="37A383AE">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3、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14:paraId="18BCB60D">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4、不得提供未经检疫或者检疫不合格的肉类品(含熟制品)、蔬菜制品，对带骨头肉制品按要求切块，须当批次《肉类卫生防疫证明》和蔬菜农药残留检测报告供采购人随时抽查，抽查发现供应商提供的物资合格证明材料与本批次物资不符时，每次给予1000元处罚。</w:t>
      </w:r>
    </w:p>
    <w:p w14:paraId="4367BB0B">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5、不得提供来历不明、不能提供相应产品标签的散装物品。</w:t>
      </w:r>
    </w:p>
    <w:p w14:paraId="31C2B1AF">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6、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供应商承担。</w:t>
      </w:r>
    </w:p>
    <w:p w14:paraId="7687180E">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7、供应商提供的物资必须达到国家规定的卫生安全标准，蔬菜、禽蛋、畜禽肉类等食品能够按有相应的质量检疫检验报告供采购人随时抽查，抽查发现供应商提供的报告与本批次物资不符时，采购人按本批物资量合同价值的3倍给予处罚。</w:t>
      </w:r>
    </w:p>
    <w:p w14:paraId="66497CF5">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8、物资产品在送达采购人指定地点时保质期剩余时间应在三分之二以上。</w:t>
      </w:r>
    </w:p>
    <w:p w14:paraId="3B8CFC80">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9、如因供应商提供的物资，因质量等问题而使采购人人员发生食物中毒事件的，供应商将承担相应的法律责任。</w:t>
      </w:r>
    </w:p>
    <w:p w14:paraId="2219AF50">
      <w:pPr>
        <w:autoSpaceDE w:val="0"/>
        <w:autoSpaceDN w:val="0"/>
        <w:adjustRightInd w:val="0"/>
        <w:spacing w:line="36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10、供应商配送的食品应无毒、无害，具有完好的形、色、香、味等性状，并符合质量要求。</w:t>
      </w:r>
    </w:p>
    <w:p w14:paraId="235925BA">
      <w:pPr>
        <w:pStyle w:val="4"/>
        <w:keepNext w:val="0"/>
        <w:keepLines w:val="0"/>
        <w:pageBreakBefore w:val="0"/>
        <w:shd w:val="clear" w:color="auto" w:fill="auto"/>
        <w:kinsoku/>
        <w:overflowPunct/>
        <w:topLinePunct w:val="0"/>
        <w:bidi w:val="0"/>
        <w:snapToGrid/>
        <w:spacing w:line="360" w:lineRule="auto"/>
        <w:ind w:left="0" w:firstLine="422" w:firstLineChars="200"/>
        <w:textAlignment w:val="auto"/>
        <w:rPr>
          <w:rFonts w:hint="default" w:ascii="Calibri" w:hAnsi="Calibri" w:eastAsia="宋体" w:cs="Times New Roman"/>
          <w:b/>
          <w:bCs/>
          <w:color w:val="auto"/>
          <w:sz w:val="21"/>
          <w:szCs w:val="21"/>
          <w:lang w:val="en-US" w:eastAsia="zh-CN"/>
        </w:rPr>
      </w:pPr>
      <w:r>
        <w:rPr>
          <w:rFonts w:hint="eastAsia" w:cs="宋体"/>
          <w:b/>
          <w:color w:val="auto"/>
          <w:sz w:val="21"/>
          <w:szCs w:val="21"/>
          <w:highlight w:val="none"/>
          <w:lang w:val="en-US" w:eastAsia="zh-CN"/>
        </w:rPr>
        <w:t>七</w:t>
      </w:r>
      <w:r>
        <w:rPr>
          <w:rFonts w:hint="eastAsia" w:ascii="宋体" w:hAnsi="宋体" w:eastAsia="宋体" w:cs="宋体"/>
          <w:b/>
          <w:color w:val="auto"/>
          <w:sz w:val="21"/>
          <w:szCs w:val="21"/>
          <w:highlight w:val="none"/>
        </w:rPr>
        <w:t>、</w:t>
      </w:r>
      <w:r>
        <w:rPr>
          <w:rFonts w:hint="default" w:ascii="Calibri" w:hAnsi="Calibri" w:eastAsia="宋体" w:cs="Times New Roman"/>
          <w:b/>
          <w:bCs/>
          <w:color w:val="auto"/>
          <w:sz w:val="21"/>
          <w:szCs w:val="21"/>
          <w:lang w:val="en-US" w:eastAsia="zh-CN"/>
        </w:rPr>
        <w:t>售后服务</w:t>
      </w:r>
    </w:p>
    <w:p w14:paraId="55BAFCD3">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default" w:ascii="Calibri" w:hAnsi="Calibri" w:eastAsia="宋体" w:cs="Times New Roman"/>
          <w:color w:val="auto"/>
          <w:sz w:val="21"/>
          <w:szCs w:val="21"/>
          <w:lang w:val="en-US" w:eastAsia="zh-CN"/>
        </w:rPr>
      </w:pPr>
      <w:r>
        <w:rPr>
          <w:rFonts w:hint="eastAsia" w:ascii="Calibri" w:hAnsi="Calibri" w:eastAsia="宋体" w:cs="Times New Roman"/>
          <w:color w:val="auto"/>
          <w:sz w:val="21"/>
          <w:szCs w:val="21"/>
          <w:lang w:val="en-US" w:eastAsia="zh-CN"/>
        </w:rPr>
        <w:t>（一）本项目</w:t>
      </w:r>
      <w:r>
        <w:rPr>
          <w:rFonts w:hint="default" w:ascii="Calibri" w:hAnsi="Calibri" w:eastAsia="宋体" w:cs="Times New Roman"/>
          <w:color w:val="auto"/>
          <w:sz w:val="21"/>
          <w:szCs w:val="21"/>
          <w:lang w:val="en-US" w:eastAsia="zh-CN"/>
        </w:rPr>
        <w:t>由</w:t>
      </w:r>
      <w:r>
        <w:rPr>
          <w:rFonts w:hint="eastAsia" w:ascii="Calibri" w:hAnsi="Calibri" w:eastAsia="宋体" w:cs="Times New Roman"/>
          <w:color w:val="auto"/>
          <w:sz w:val="21"/>
          <w:szCs w:val="21"/>
          <w:lang w:val="en-US" w:eastAsia="zh-CN"/>
        </w:rPr>
        <w:t>甲方</w:t>
      </w:r>
      <w:r>
        <w:rPr>
          <w:rFonts w:hint="default" w:ascii="Calibri" w:hAnsi="Calibri" w:eastAsia="宋体" w:cs="Times New Roman"/>
          <w:color w:val="auto"/>
          <w:sz w:val="21"/>
          <w:szCs w:val="21"/>
          <w:lang w:val="en-US" w:eastAsia="zh-CN"/>
        </w:rPr>
        <w:t>验收人员会同</w:t>
      </w:r>
      <w:r>
        <w:rPr>
          <w:rFonts w:hint="eastAsia" w:ascii="Calibri" w:hAnsi="Calibri" w:eastAsia="宋体" w:cs="Times New Roman"/>
          <w:color w:val="auto"/>
          <w:sz w:val="21"/>
          <w:szCs w:val="21"/>
          <w:lang w:val="en-US" w:eastAsia="zh-CN"/>
        </w:rPr>
        <w:t>乙方</w:t>
      </w:r>
      <w:r>
        <w:rPr>
          <w:rFonts w:hint="default" w:ascii="Calibri" w:hAnsi="Calibri" w:eastAsia="宋体" w:cs="Times New Roman"/>
          <w:color w:val="auto"/>
          <w:sz w:val="21"/>
          <w:szCs w:val="21"/>
          <w:lang w:val="en-US" w:eastAsia="zh-CN"/>
        </w:rPr>
        <w:t>依据招标要求进行监督管理，如有短缺、规格质量不符、资料不全等，由</w:t>
      </w:r>
      <w:r>
        <w:rPr>
          <w:rFonts w:hint="eastAsia" w:ascii="Calibri" w:hAnsi="Calibri" w:eastAsia="宋体" w:cs="Times New Roman"/>
          <w:color w:val="auto"/>
          <w:sz w:val="21"/>
          <w:szCs w:val="21"/>
          <w:lang w:val="en-US" w:eastAsia="zh-CN"/>
        </w:rPr>
        <w:t>乙方</w:t>
      </w:r>
      <w:r>
        <w:rPr>
          <w:rFonts w:hint="default" w:ascii="Calibri" w:hAnsi="Calibri" w:eastAsia="宋体" w:cs="Times New Roman"/>
          <w:color w:val="auto"/>
          <w:sz w:val="21"/>
          <w:szCs w:val="21"/>
          <w:lang w:val="en-US" w:eastAsia="zh-CN"/>
        </w:rPr>
        <w:t>在当日内无偿给予更换、补齐，并承担由此产生的全部费用。对于不符规格要求、以次充好、质量问题等现象，</w:t>
      </w:r>
      <w:r>
        <w:rPr>
          <w:rFonts w:hint="eastAsia" w:ascii="Calibri" w:hAnsi="Calibri" w:eastAsia="宋体" w:cs="Times New Roman"/>
          <w:color w:val="auto"/>
          <w:sz w:val="21"/>
          <w:szCs w:val="21"/>
          <w:lang w:val="en-US" w:eastAsia="zh-CN"/>
        </w:rPr>
        <w:t>甲方</w:t>
      </w:r>
      <w:r>
        <w:rPr>
          <w:rFonts w:hint="default" w:ascii="Calibri" w:hAnsi="Calibri" w:eastAsia="宋体" w:cs="Times New Roman"/>
          <w:color w:val="auto"/>
          <w:sz w:val="21"/>
          <w:szCs w:val="21"/>
          <w:lang w:val="en-US" w:eastAsia="zh-CN"/>
        </w:rPr>
        <w:t>有权退货，</w:t>
      </w:r>
      <w:r>
        <w:rPr>
          <w:rFonts w:hint="eastAsia" w:ascii="Calibri" w:hAnsi="Calibri" w:eastAsia="宋体" w:cs="Times New Roman"/>
          <w:color w:val="auto"/>
          <w:sz w:val="21"/>
          <w:szCs w:val="21"/>
          <w:lang w:val="en-US" w:eastAsia="zh-CN"/>
        </w:rPr>
        <w:t>乙方</w:t>
      </w:r>
      <w:r>
        <w:rPr>
          <w:rFonts w:hint="default" w:ascii="Calibri" w:hAnsi="Calibri" w:eastAsia="宋体" w:cs="Times New Roman"/>
          <w:color w:val="auto"/>
          <w:sz w:val="21"/>
          <w:szCs w:val="21"/>
          <w:lang w:val="en-US" w:eastAsia="zh-CN"/>
        </w:rPr>
        <w:t>必须无条件退换，并保证正常就餐。</w:t>
      </w:r>
    </w:p>
    <w:p w14:paraId="7CD62B6F">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default" w:ascii="Calibri" w:hAnsi="Calibri" w:eastAsia="宋体" w:cs="Times New Roman"/>
          <w:color w:val="auto"/>
          <w:sz w:val="21"/>
          <w:szCs w:val="21"/>
          <w:lang w:val="en-US" w:eastAsia="zh-CN"/>
        </w:rPr>
      </w:pPr>
      <w:r>
        <w:rPr>
          <w:rFonts w:hint="eastAsia" w:ascii="Calibri" w:hAnsi="Calibri" w:eastAsia="宋体" w:cs="Times New Roman"/>
          <w:color w:val="auto"/>
          <w:sz w:val="21"/>
          <w:szCs w:val="21"/>
          <w:lang w:val="en-US" w:eastAsia="zh-CN"/>
        </w:rPr>
        <w:t>（二）</w:t>
      </w:r>
      <w:r>
        <w:rPr>
          <w:rFonts w:hint="default" w:ascii="Calibri" w:hAnsi="Calibri" w:eastAsia="宋体" w:cs="Times New Roman"/>
          <w:color w:val="auto"/>
          <w:sz w:val="21"/>
          <w:szCs w:val="21"/>
          <w:lang w:val="en-US" w:eastAsia="zh-CN"/>
        </w:rPr>
        <w:t>因产品质量问题出现安全事故，</w:t>
      </w:r>
      <w:r>
        <w:rPr>
          <w:rFonts w:hint="eastAsia" w:ascii="Calibri" w:hAnsi="Calibri" w:eastAsia="宋体" w:cs="Times New Roman"/>
          <w:color w:val="auto"/>
          <w:sz w:val="21"/>
          <w:szCs w:val="21"/>
          <w:lang w:val="en-US" w:eastAsia="zh-CN"/>
        </w:rPr>
        <w:t>乙方</w:t>
      </w:r>
      <w:r>
        <w:rPr>
          <w:rFonts w:hint="default" w:ascii="Calibri" w:hAnsi="Calibri" w:eastAsia="宋体" w:cs="Times New Roman"/>
          <w:color w:val="auto"/>
          <w:sz w:val="21"/>
          <w:szCs w:val="21"/>
          <w:lang w:val="en-US" w:eastAsia="zh-CN"/>
        </w:rPr>
        <w:t>应在 2 小时内到达现场处理，主动做好协调、救援、安抚、善后等工作。若出现群体呕吐、腹泻等其他情况，经相关职能部门或机构检测确系产品质量问题导致的，由</w:t>
      </w:r>
      <w:r>
        <w:rPr>
          <w:rFonts w:hint="eastAsia" w:ascii="Calibri" w:hAnsi="Calibri" w:eastAsia="宋体" w:cs="Times New Roman"/>
          <w:color w:val="auto"/>
          <w:sz w:val="21"/>
          <w:szCs w:val="21"/>
          <w:lang w:val="en-US" w:eastAsia="zh-CN"/>
        </w:rPr>
        <w:t>乙方</w:t>
      </w:r>
      <w:r>
        <w:rPr>
          <w:rFonts w:hint="default" w:ascii="Calibri" w:hAnsi="Calibri" w:eastAsia="宋体" w:cs="Times New Roman"/>
          <w:color w:val="auto"/>
          <w:sz w:val="21"/>
          <w:szCs w:val="21"/>
          <w:lang w:val="en-US" w:eastAsia="zh-CN"/>
        </w:rPr>
        <w:t>负全责，</w:t>
      </w:r>
      <w:r>
        <w:rPr>
          <w:rFonts w:hint="eastAsia" w:ascii="Calibri" w:hAnsi="Calibri" w:eastAsia="宋体" w:cs="Times New Roman"/>
          <w:color w:val="auto"/>
          <w:sz w:val="21"/>
          <w:szCs w:val="21"/>
          <w:lang w:val="en-US" w:eastAsia="zh-CN"/>
        </w:rPr>
        <w:t>甲方</w:t>
      </w:r>
      <w:r>
        <w:rPr>
          <w:rFonts w:hint="default" w:ascii="Calibri" w:hAnsi="Calibri" w:eastAsia="宋体" w:cs="Times New Roman"/>
          <w:color w:val="auto"/>
          <w:sz w:val="21"/>
          <w:szCs w:val="21"/>
          <w:lang w:val="en-US" w:eastAsia="zh-CN"/>
        </w:rPr>
        <w:t>有权终止合同，所造成的一切经济损失和法律责任由</w:t>
      </w:r>
      <w:r>
        <w:rPr>
          <w:rFonts w:hint="eastAsia" w:ascii="Calibri" w:hAnsi="Calibri" w:eastAsia="宋体" w:cs="Times New Roman"/>
          <w:color w:val="auto"/>
          <w:sz w:val="21"/>
          <w:szCs w:val="21"/>
          <w:lang w:val="en-US" w:eastAsia="zh-CN"/>
        </w:rPr>
        <w:t>乙方</w:t>
      </w:r>
      <w:r>
        <w:rPr>
          <w:rFonts w:hint="default" w:ascii="Calibri" w:hAnsi="Calibri" w:eastAsia="宋体" w:cs="Times New Roman"/>
          <w:color w:val="auto"/>
          <w:sz w:val="21"/>
          <w:szCs w:val="21"/>
          <w:lang w:val="en-US" w:eastAsia="zh-CN"/>
        </w:rPr>
        <w:t>自行承担。</w:t>
      </w:r>
    </w:p>
    <w:p w14:paraId="14CF28ED">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default" w:ascii="Calibri" w:hAnsi="Calibri" w:eastAsia="宋体" w:cs="Times New Roman"/>
          <w:color w:val="auto"/>
          <w:sz w:val="21"/>
          <w:szCs w:val="21"/>
          <w:lang w:val="en-US" w:eastAsia="zh-CN"/>
        </w:rPr>
      </w:pPr>
      <w:r>
        <w:rPr>
          <w:rFonts w:hint="eastAsia" w:ascii="Calibri" w:hAnsi="Calibri" w:eastAsia="宋体" w:cs="Times New Roman"/>
          <w:color w:val="auto"/>
          <w:sz w:val="21"/>
          <w:szCs w:val="21"/>
          <w:lang w:val="en-US" w:eastAsia="zh-CN"/>
        </w:rPr>
        <w:t>（三）乙方</w:t>
      </w:r>
      <w:r>
        <w:rPr>
          <w:rFonts w:hint="default" w:ascii="Calibri" w:hAnsi="Calibri" w:eastAsia="宋体" w:cs="Times New Roman"/>
          <w:color w:val="auto"/>
          <w:sz w:val="21"/>
          <w:szCs w:val="21"/>
          <w:lang w:val="en-US" w:eastAsia="zh-CN"/>
        </w:rPr>
        <w:t>主要负责人和相关主管人员必须到现场指导、处理，慰问，做好安抚工作和善后处理，并承担一切责任和产生的一切费用。</w:t>
      </w:r>
    </w:p>
    <w:p w14:paraId="6D6790D9">
      <w:pPr>
        <w:spacing w:line="360" w:lineRule="auto"/>
        <w:ind w:firstLine="422" w:firstLineChars="200"/>
        <w:rPr>
          <w:rFonts w:ascii="宋体" w:hAnsi="宋体" w:cs="宋体"/>
          <w:b/>
          <w:color w:val="auto"/>
          <w:sz w:val="21"/>
          <w:szCs w:val="21"/>
          <w:highlight w:val="none"/>
        </w:rPr>
      </w:pPr>
      <w:r>
        <w:rPr>
          <w:rFonts w:hint="eastAsia" w:ascii="Calibri" w:hAnsi="Calibri" w:cs="Times New Roman"/>
          <w:b/>
          <w:bCs/>
          <w:color w:val="auto"/>
          <w:sz w:val="21"/>
          <w:szCs w:val="21"/>
          <w:lang w:val="en-US" w:eastAsia="zh-CN"/>
        </w:rPr>
        <w:t>八</w:t>
      </w:r>
      <w:r>
        <w:rPr>
          <w:rFonts w:hint="default" w:ascii="Calibri" w:hAnsi="Calibri" w:eastAsia="宋体" w:cs="Times New Roman"/>
          <w:b/>
          <w:bCs/>
          <w:color w:val="auto"/>
          <w:sz w:val="21"/>
          <w:szCs w:val="21"/>
          <w:lang w:val="en-US" w:eastAsia="zh-CN"/>
        </w:rPr>
        <w:t>、</w:t>
      </w:r>
      <w:r>
        <w:rPr>
          <w:rFonts w:hint="eastAsia" w:ascii="宋体" w:hAnsi="宋体" w:cs="宋体"/>
          <w:b/>
          <w:color w:val="auto"/>
          <w:sz w:val="21"/>
          <w:szCs w:val="21"/>
          <w:highlight w:val="none"/>
        </w:rPr>
        <w:t>验收</w:t>
      </w:r>
    </w:p>
    <w:p w14:paraId="3DE084A6">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highlight w:val="none"/>
        </w:rPr>
        <w:t>（一）货物到货后，由甲方与</w:t>
      </w:r>
      <w:r>
        <w:rPr>
          <w:rFonts w:hint="eastAsia" w:ascii="宋体" w:hAnsi="宋体" w:cs="宋体"/>
          <w:bCs/>
          <w:color w:val="auto"/>
          <w:sz w:val="21"/>
          <w:szCs w:val="21"/>
        </w:rPr>
        <w:t>乙方共同进行外观验收，验收内容包括，外包装的完好性，产品规格、数量及产地与合同要求的一致性。</w:t>
      </w:r>
    </w:p>
    <w:p w14:paraId="3E303F3A">
      <w:pPr>
        <w:autoSpaceDE w:val="0"/>
        <w:autoSpaceDN w:val="0"/>
        <w:adjustRightInd w:val="0"/>
        <w:spacing w:line="360" w:lineRule="auto"/>
        <w:ind w:firstLine="420" w:firstLineChars="200"/>
        <w:rPr>
          <w:rFonts w:hint="eastAsia" w:ascii="宋体" w:hAnsi="宋体" w:eastAsia="宋体" w:cs="宋体"/>
          <w:bCs/>
          <w:color w:val="auto"/>
          <w:sz w:val="21"/>
          <w:szCs w:val="21"/>
          <w:lang w:eastAsia="zh-CN"/>
        </w:rPr>
      </w:pPr>
      <w:r>
        <w:rPr>
          <w:rFonts w:hint="eastAsia" w:ascii="宋体" w:hAnsi="宋体" w:cs="宋体"/>
          <w:bCs/>
          <w:color w:val="auto"/>
          <w:sz w:val="21"/>
          <w:szCs w:val="21"/>
        </w:rPr>
        <w:t>（二）符合国家和行业制定的相应的标准和规范；原材料验收由采购单位业务管理方、供应方、食堂使用方，三方现场检验，对供应产品的质量无异议数量准确无误后，三方签字，各自留存。</w:t>
      </w:r>
    </w:p>
    <w:p w14:paraId="1974CF20">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rPr>
        <w:t>（三）验收依据</w:t>
      </w:r>
    </w:p>
    <w:p w14:paraId="01D39D6A">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rPr>
        <w:t>1</w:t>
      </w:r>
      <w:r>
        <w:rPr>
          <w:rFonts w:hint="eastAsia" w:ascii="宋体" w:hAnsi="宋体" w:cs="宋体"/>
          <w:bCs/>
          <w:color w:val="auto"/>
          <w:sz w:val="21"/>
          <w:szCs w:val="21"/>
          <w:lang w:eastAsia="zh-CN"/>
        </w:rPr>
        <w:t>、</w:t>
      </w:r>
      <w:r>
        <w:rPr>
          <w:rFonts w:hint="eastAsia" w:ascii="宋体" w:hAnsi="宋体" w:cs="宋体"/>
          <w:bCs/>
          <w:color w:val="auto"/>
          <w:sz w:val="21"/>
          <w:szCs w:val="21"/>
        </w:rPr>
        <w:t>甲方根据合同文本、合同附件、招标文件、投标文件向</w:t>
      </w:r>
      <w:r>
        <w:rPr>
          <w:rFonts w:hint="eastAsia" w:ascii="宋体" w:hAnsi="宋体" w:cs="宋体"/>
          <w:bCs/>
          <w:color w:val="auto"/>
          <w:sz w:val="21"/>
          <w:szCs w:val="21"/>
          <w:lang w:val="en-US" w:eastAsia="zh-CN"/>
        </w:rPr>
        <w:t>下属部门</w:t>
      </w:r>
      <w:r>
        <w:rPr>
          <w:rFonts w:hint="eastAsia" w:ascii="宋体" w:hAnsi="宋体" w:cs="宋体"/>
          <w:bCs/>
          <w:color w:val="auto"/>
          <w:sz w:val="21"/>
          <w:szCs w:val="21"/>
        </w:rPr>
        <w:t>下发的验收要求。</w:t>
      </w:r>
    </w:p>
    <w:p w14:paraId="2228A1FE">
      <w:pPr>
        <w:keepNext w:val="0"/>
        <w:keepLines w:val="0"/>
        <w:pageBreakBefore w:val="0"/>
        <w:widowControl/>
        <w:kinsoku/>
        <w:wordWrap/>
        <w:overflowPunct/>
        <w:topLinePunct w:val="0"/>
        <w:autoSpaceDE/>
        <w:autoSpaceDN/>
        <w:bidi w:val="0"/>
        <w:adjustRightInd/>
        <w:spacing w:line="360" w:lineRule="auto"/>
        <w:ind w:right="0" w:rightChars="0" w:firstLine="420" w:firstLineChars="200"/>
        <w:jc w:val="left"/>
        <w:textAlignment w:val="baseline"/>
        <w:rPr>
          <w:rFonts w:hint="eastAsia" w:ascii="宋体" w:hAnsi="宋体" w:eastAsia="宋体" w:cs="宋体"/>
          <w:color w:val="auto"/>
          <w:sz w:val="21"/>
          <w:szCs w:val="21"/>
          <w:highlight w:val="none"/>
          <w:lang w:val="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所供货物须符合国家《食品安全法》及相关的</w:t>
      </w:r>
      <w:r>
        <w:rPr>
          <w:rFonts w:hint="eastAsia" w:ascii="宋体" w:hAnsi="宋体" w:cs="宋体"/>
          <w:color w:val="auto"/>
          <w:sz w:val="21"/>
          <w:szCs w:val="21"/>
          <w:highlight w:val="none"/>
          <w:lang w:val="en-US" w:eastAsia="zh-CN"/>
        </w:rPr>
        <w:t>标准</w:t>
      </w:r>
      <w:r>
        <w:rPr>
          <w:rFonts w:hint="eastAsia" w:ascii="宋体" w:hAnsi="宋体" w:eastAsia="宋体" w:cs="宋体"/>
          <w:color w:val="auto"/>
          <w:sz w:val="21"/>
          <w:szCs w:val="21"/>
          <w:highlight w:val="none"/>
          <w:lang w:val="zh-CN"/>
        </w:rPr>
        <w:t>规定；</w:t>
      </w:r>
      <w:r>
        <w:rPr>
          <w:rFonts w:hint="eastAsia" w:ascii="宋体" w:hAnsi="宋体" w:cs="宋体"/>
          <w:color w:val="auto"/>
          <w:sz w:val="21"/>
          <w:szCs w:val="21"/>
          <w:highlight w:val="none"/>
          <w:lang w:val="en-US" w:eastAsia="zh-CN"/>
        </w:rPr>
        <w:t>外</w:t>
      </w:r>
      <w:r>
        <w:rPr>
          <w:rFonts w:hint="eastAsia" w:ascii="宋体" w:hAnsi="宋体" w:eastAsia="宋体" w:cs="宋体"/>
          <w:color w:val="auto"/>
          <w:sz w:val="21"/>
          <w:szCs w:val="21"/>
          <w:highlight w:val="none"/>
          <w:lang w:val="zh-CN"/>
        </w:rPr>
        <w:t>包装上</w:t>
      </w:r>
      <w:r>
        <w:rPr>
          <w:rFonts w:hint="eastAsia" w:ascii="宋体" w:hAnsi="宋体" w:cs="宋体"/>
          <w:color w:val="auto"/>
          <w:sz w:val="21"/>
          <w:szCs w:val="21"/>
          <w:highlight w:val="none"/>
          <w:lang w:val="en-US" w:eastAsia="zh-CN"/>
        </w:rPr>
        <w:t>必须</w:t>
      </w:r>
      <w:r>
        <w:rPr>
          <w:rFonts w:hint="eastAsia" w:ascii="宋体" w:hAnsi="宋体" w:eastAsia="宋体" w:cs="宋体"/>
          <w:color w:val="auto"/>
          <w:sz w:val="21"/>
          <w:szCs w:val="21"/>
          <w:highlight w:val="none"/>
          <w:lang w:val="zh-CN"/>
        </w:rPr>
        <w:t>有清楚的</w:t>
      </w:r>
      <w:r>
        <w:rPr>
          <w:rFonts w:hint="eastAsia" w:ascii="宋体" w:hAnsi="宋体" w:cs="宋体"/>
          <w:color w:val="auto"/>
          <w:sz w:val="21"/>
          <w:szCs w:val="21"/>
          <w:highlight w:val="none"/>
          <w:lang w:val="en-US" w:eastAsia="zh-CN"/>
        </w:rPr>
        <w:t>生产日期，保质期、生产厂家、检验报告</w:t>
      </w:r>
      <w:r>
        <w:rPr>
          <w:rFonts w:hint="eastAsia" w:ascii="宋体" w:hAnsi="宋体" w:eastAsia="宋体" w:cs="宋体"/>
          <w:color w:val="auto"/>
          <w:sz w:val="21"/>
          <w:szCs w:val="21"/>
          <w:highlight w:val="none"/>
          <w:lang w:val="zh-CN"/>
        </w:rPr>
        <w:t>。</w:t>
      </w:r>
    </w:p>
    <w:p w14:paraId="61B4E1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乙方每次供货须向使用单位提供“供货清单”（供货清单一式三份，甲方一份，乙方一份，使用部门一份）；经验收合格后，由使用单位在“供货清单”上签字。</w:t>
      </w:r>
    </w:p>
    <w:p w14:paraId="51CB6D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4、</w:t>
      </w:r>
      <w:r>
        <w:rPr>
          <w:rFonts w:hint="eastAsia" w:ascii="宋体" w:hAnsi="宋体" w:eastAsia="宋体" w:cs="宋体"/>
          <w:color w:val="auto"/>
          <w:sz w:val="21"/>
          <w:szCs w:val="21"/>
          <w:lang w:val="en-US" w:eastAsia="zh-CN"/>
        </w:rPr>
        <w:t>若验收不合格，中标人必须及时换货，保证使用单位的正常使用。</w:t>
      </w:r>
    </w:p>
    <w:p w14:paraId="45EFB4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en-US" w:eastAsia="zh-CN"/>
        </w:rPr>
        <w:t xml:space="preserve">验收依据： </w:t>
      </w:r>
    </w:p>
    <w:p w14:paraId="41919C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30" w:firstLineChars="3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en-US" w:eastAsia="zh-CN"/>
        </w:rPr>
        <w:t xml:space="preserve">合同文本及合同补充文件（条款）。 </w:t>
      </w:r>
    </w:p>
    <w:p w14:paraId="38E1FC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30" w:firstLineChars="3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val="en-US" w:eastAsia="zh-CN"/>
        </w:rPr>
        <w:t>国家有关的验收标准及规范。</w:t>
      </w:r>
    </w:p>
    <w:p w14:paraId="0CA91F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30" w:firstLineChars="300"/>
        <w:jc w:val="left"/>
        <w:textAlignment w:val="auto"/>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 xml:space="preserve"> 生产厂家的企业资质、检验报告.</w:t>
      </w:r>
    </w:p>
    <w:p w14:paraId="63D743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所有商品因验收货物时不能直接判断质量的，在使用过程中发现不合格商品，中标人应作退货处理；</w:t>
      </w:r>
    </w:p>
    <w:p w14:paraId="569EE1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7、</w:t>
      </w:r>
      <w:r>
        <w:rPr>
          <w:rFonts w:hint="eastAsia" w:ascii="宋体" w:hAnsi="宋体" w:eastAsia="宋体" w:cs="宋体"/>
          <w:color w:val="auto"/>
          <w:sz w:val="21"/>
          <w:szCs w:val="21"/>
          <w:lang w:val="en-US" w:eastAsia="zh-CN"/>
        </w:rPr>
        <w:t>因食材质量问题发生的食品安全事故，由中标人承担经济赔偿责任以及全部法律责任；</w:t>
      </w:r>
    </w:p>
    <w:p w14:paraId="6DA438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8、</w:t>
      </w:r>
      <w:r>
        <w:rPr>
          <w:rFonts w:hint="eastAsia" w:ascii="宋体" w:hAnsi="宋体" w:eastAsia="宋体" w:cs="宋体"/>
          <w:color w:val="auto"/>
          <w:sz w:val="21"/>
          <w:szCs w:val="21"/>
          <w:lang w:val="en-US" w:eastAsia="zh-CN"/>
        </w:rPr>
        <w:t>因市场特殊原因，个别食材品种不能及时提供，中标人应主动与甲方沟通协调，更换品种，满足需要；</w:t>
      </w:r>
    </w:p>
    <w:p w14:paraId="1FDE84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9、</w:t>
      </w:r>
      <w:r>
        <w:rPr>
          <w:rFonts w:hint="eastAsia" w:ascii="宋体" w:hAnsi="宋体" w:eastAsia="宋体" w:cs="宋体"/>
          <w:color w:val="auto"/>
          <w:sz w:val="21"/>
          <w:szCs w:val="21"/>
          <w:lang w:val="en-US" w:eastAsia="zh-CN"/>
        </w:rPr>
        <w:t>物资验收中不合格产品，乙方按照甲方规定时间内调换，应不影响正常工作；</w:t>
      </w:r>
    </w:p>
    <w:p w14:paraId="73097F94">
      <w:pPr>
        <w:autoSpaceDE w:val="0"/>
        <w:autoSpaceDN w:val="0"/>
        <w:adjustRightInd w:val="0"/>
        <w:spacing w:line="360" w:lineRule="auto"/>
        <w:ind w:firstLine="422" w:firstLineChars="200"/>
        <w:rPr>
          <w:rFonts w:ascii="宋体" w:hAnsi="宋体" w:cs="宋体"/>
          <w:b/>
          <w:bCs/>
          <w:color w:val="auto"/>
          <w:sz w:val="21"/>
          <w:szCs w:val="21"/>
        </w:rPr>
      </w:pPr>
      <w:r>
        <w:rPr>
          <w:rFonts w:hint="eastAsia" w:ascii="Calibri" w:hAnsi="Calibri" w:cs="Times New Roman"/>
          <w:b/>
          <w:bCs/>
          <w:color w:val="auto"/>
          <w:sz w:val="21"/>
          <w:szCs w:val="21"/>
          <w:lang w:val="en-US" w:eastAsia="zh-CN"/>
        </w:rPr>
        <w:t>九</w:t>
      </w:r>
      <w:r>
        <w:rPr>
          <w:rFonts w:hint="default" w:ascii="Calibri" w:hAnsi="Calibri" w:eastAsia="宋体" w:cs="Times New Roman"/>
          <w:b/>
          <w:bCs/>
          <w:color w:val="auto"/>
          <w:sz w:val="21"/>
          <w:szCs w:val="21"/>
          <w:lang w:val="en-US" w:eastAsia="zh-CN"/>
        </w:rPr>
        <w:t>、</w:t>
      </w:r>
      <w:r>
        <w:rPr>
          <w:rFonts w:hint="eastAsia" w:ascii="宋体" w:hAnsi="宋体" w:cs="宋体"/>
          <w:b/>
          <w:bCs/>
          <w:color w:val="auto"/>
          <w:sz w:val="21"/>
          <w:szCs w:val="21"/>
        </w:rPr>
        <w:t>违约责任</w:t>
      </w:r>
    </w:p>
    <w:p w14:paraId="2C534D2E">
      <w:pPr>
        <w:keepNext w:val="0"/>
        <w:keepLines w:val="0"/>
        <w:pageBreakBefore w:val="0"/>
        <w:widowControl/>
        <w:kinsoku/>
        <w:wordWrap/>
        <w:overflowPunct/>
        <w:topLinePunct w:val="0"/>
        <w:autoSpaceDE/>
        <w:autoSpaceDN/>
        <w:bidi w:val="0"/>
        <w:adjustRightInd/>
        <w:spacing w:line="360" w:lineRule="auto"/>
        <w:ind w:right="0" w:rightChars="0" w:firstLine="420" w:firstLineChars="200"/>
        <w:jc w:val="left"/>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（一）按《民法典》中的相关条款执行。</w:t>
      </w:r>
    </w:p>
    <w:p w14:paraId="0475F1B6">
      <w:pPr>
        <w:keepNext w:val="0"/>
        <w:keepLines w:val="0"/>
        <w:pageBreakBefore w:val="0"/>
        <w:widowControl/>
        <w:kinsoku/>
        <w:wordWrap/>
        <w:overflowPunct/>
        <w:topLinePunct w:val="0"/>
        <w:autoSpaceDE/>
        <w:autoSpaceDN/>
        <w:bidi w:val="0"/>
        <w:adjustRightInd/>
        <w:spacing w:line="360" w:lineRule="auto"/>
        <w:ind w:right="0" w:rightChars="0" w:firstLine="420" w:firstLineChars="200"/>
        <w:jc w:val="left"/>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按合同要求提供服务或服务质量不能满足采购技术要求，乙方必须无条件提高技术，完善服务质量，否则，甲方会同监督机构、采购代理机构有权终止合同并对乙方违约行为进行追究，同时按政府采购供应商管理办法进行相应的处罚。</w:t>
      </w:r>
    </w:p>
    <w:p w14:paraId="445156DE">
      <w:pPr>
        <w:keepNext w:val="0"/>
        <w:keepLines w:val="0"/>
        <w:pageBreakBefore w:val="0"/>
        <w:widowControl/>
        <w:kinsoku/>
        <w:wordWrap/>
        <w:overflowPunct/>
        <w:topLinePunct w:val="0"/>
        <w:autoSpaceDE/>
        <w:autoSpaceDN/>
        <w:bidi w:val="0"/>
        <w:adjustRightInd/>
        <w:spacing w:line="360" w:lineRule="auto"/>
        <w:ind w:right="0" w:rightChars="0" w:firstLine="420" w:firstLineChars="200"/>
        <w:jc w:val="left"/>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（三）任何一方因不可抗力原因不能履行协议时，应尽快通知对方，双方均设法补偿。如仍无法履约协议，可协商延缓或撤销协议，双方责任免除。</w:t>
      </w:r>
    </w:p>
    <w:p w14:paraId="6660BC9F">
      <w:pPr>
        <w:pStyle w:val="4"/>
        <w:keepNext w:val="0"/>
        <w:keepLines w:val="0"/>
        <w:pageBreakBefore w:val="0"/>
        <w:shd w:val="clear" w:color="auto" w:fill="auto"/>
        <w:kinsoku/>
        <w:overflowPunct/>
        <w:topLinePunct w:val="0"/>
        <w:bidi w:val="0"/>
        <w:snapToGrid/>
        <w:spacing w:line="360" w:lineRule="auto"/>
        <w:ind w:left="0" w:firstLine="422" w:firstLineChars="200"/>
        <w:textAlignment w:val="auto"/>
        <w:rPr>
          <w:rFonts w:hint="default" w:ascii="Calibri" w:hAnsi="Calibri" w:eastAsia="宋体" w:cs="Times New Roman"/>
          <w:b/>
          <w:bCs/>
          <w:color w:val="auto"/>
          <w:sz w:val="21"/>
          <w:szCs w:val="21"/>
          <w:lang w:val="en-US" w:eastAsia="zh-CN"/>
        </w:rPr>
      </w:pPr>
      <w:r>
        <w:rPr>
          <w:rFonts w:hint="eastAsia" w:ascii="Calibri" w:hAnsi="Calibri" w:eastAsia="宋体" w:cs="Times New Roman"/>
          <w:b/>
          <w:bCs/>
          <w:color w:val="auto"/>
          <w:sz w:val="21"/>
          <w:szCs w:val="21"/>
          <w:lang w:val="en-US" w:eastAsia="zh-CN"/>
        </w:rPr>
        <w:t>十、不可抗力</w:t>
      </w:r>
    </w:p>
    <w:p w14:paraId="61AF6542">
      <w:pPr>
        <w:pStyle w:val="4"/>
        <w:keepNext w:val="0"/>
        <w:keepLines w:val="0"/>
        <w:pageBreakBefore w:val="0"/>
        <w:shd w:val="clear" w:color="auto" w:fill="auto"/>
        <w:kinsoku/>
        <w:overflowPunct/>
        <w:topLinePunct w:val="0"/>
        <w:bidi w:val="0"/>
        <w:snapToGrid/>
        <w:spacing w:line="360" w:lineRule="auto"/>
        <w:ind w:left="0" w:firstLine="420" w:firstLineChars="200"/>
        <w:textAlignment w:val="auto"/>
        <w:rPr>
          <w:rFonts w:hint="default" w:ascii="Calibri" w:hAnsi="Calibri" w:eastAsia="宋体"/>
          <w:color w:val="auto"/>
          <w:sz w:val="21"/>
          <w:szCs w:val="21"/>
          <w:lang w:val="en-US" w:eastAsia="zh-CN"/>
        </w:rPr>
      </w:pPr>
      <w:r>
        <w:rPr>
          <w:rFonts w:hint="default" w:ascii="Calibri" w:hAnsi="Calibri" w:eastAsia="宋体" w:cs="Times New Roman"/>
          <w:color w:val="auto"/>
          <w:sz w:val="21"/>
          <w:szCs w:val="21"/>
          <w:lang w:val="en-US" w:eastAsia="zh-CN"/>
        </w:rPr>
        <w:t>合同期限内，若发生不可抗力事件（遇国家或地方政府政策性调整、自然灾害、</w:t>
      </w:r>
      <w:r>
        <w:rPr>
          <w:rFonts w:hint="eastAsia" w:ascii="Calibri" w:hAnsi="Calibri" w:eastAsia="宋体" w:cs="Times New Roman"/>
          <w:color w:val="auto"/>
          <w:sz w:val="21"/>
          <w:szCs w:val="21"/>
          <w:lang w:val="en-US" w:eastAsia="zh-CN"/>
        </w:rPr>
        <w:t>新冠疫情、</w:t>
      </w:r>
      <w:r>
        <w:rPr>
          <w:rFonts w:hint="default" w:ascii="Calibri" w:hAnsi="Calibri" w:eastAsia="宋体" w:cs="Times New Roman"/>
          <w:color w:val="auto"/>
          <w:sz w:val="21"/>
          <w:szCs w:val="21"/>
          <w:lang w:val="en-US" w:eastAsia="zh-CN"/>
        </w:rPr>
        <w:t>非洲猪瘟、禽流感、其他疫情等）导致无法按合同履行供货的，供货期（合同期限）不予延长。</w:t>
      </w:r>
    </w:p>
    <w:p w14:paraId="242F046A">
      <w:pPr>
        <w:spacing w:line="360" w:lineRule="auto"/>
        <w:ind w:firstLine="422" w:firstLineChars="200"/>
        <w:rPr>
          <w:rFonts w:ascii="宋体" w:hAnsi="宋体" w:cs="宋体"/>
          <w:b/>
          <w:color w:val="auto"/>
          <w:sz w:val="21"/>
          <w:szCs w:val="21"/>
        </w:rPr>
      </w:pPr>
      <w:r>
        <w:rPr>
          <w:rFonts w:hint="eastAsia" w:ascii="宋体" w:hAnsi="宋体" w:cs="宋体"/>
          <w:b/>
          <w:bCs/>
          <w:color w:val="auto"/>
          <w:sz w:val="21"/>
          <w:szCs w:val="21"/>
        </w:rPr>
        <w:t>十</w:t>
      </w:r>
      <w:r>
        <w:rPr>
          <w:rFonts w:hint="eastAsia" w:ascii="宋体" w:hAnsi="宋体" w:cs="宋体"/>
          <w:b/>
          <w:bCs/>
          <w:color w:val="auto"/>
          <w:sz w:val="21"/>
          <w:szCs w:val="21"/>
          <w:lang w:val="en-US" w:eastAsia="zh-CN"/>
        </w:rPr>
        <w:t>一</w:t>
      </w:r>
      <w:r>
        <w:rPr>
          <w:rFonts w:hint="eastAsia" w:ascii="宋体" w:hAnsi="宋体" w:cs="宋体"/>
          <w:b/>
          <w:bCs/>
          <w:color w:val="auto"/>
          <w:sz w:val="21"/>
          <w:szCs w:val="21"/>
        </w:rPr>
        <w:t>、</w:t>
      </w:r>
      <w:r>
        <w:rPr>
          <w:rFonts w:hint="eastAsia" w:ascii="宋体" w:hAnsi="宋体" w:cs="宋体"/>
          <w:b/>
          <w:color w:val="auto"/>
          <w:sz w:val="21"/>
          <w:szCs w:val="21"/>
        </w:rPr>
        <w:t>其它事项</w:t>
      </w:r>
    </w:p>
    <w:p w14:paraId="2C563682">
      <w:pPr>
        <w:spacing w:line="360" w:lineRule="auto"/>
        <w:ind w:firstLine="420" w:firstLineChars="200"/>
        <w:rPr>
          <w:rFonts w:hint="eastAsia" w:ascii="Calibri" w:hAnsi="Calibri" w:eastAsia="宋体" w:cs="Times New Roman"/>
          <w:color w:val="auto"/>
          <w:sz w:val="21"/>
          <w:szCs w:val="21"/>
          <w:lang w:val="en-US" w:eastAsia="zh-CN"/>
        </w:rPr>
      </w:pPr>
      <w:r>
        <w:rPr>
          <w:rFonts w:hint="eastAsia" w:ascii="Calibri" w:hAnsi="Calibri" w:eastAsia="宋体" w:cs="Times New Roman"/>
          <w:color w:val="auto"/>
          <w:sz w:val="21"/>
          <w:szCs w:val="21"/>
          <w:lang w:val="en-US" w:eastAsia="zh-CN"/>
        </w:rPr>
        <w:t>（一）</w:t>
      </w:r>
      <w:r>
        <w:rPr>
          <w:rFonts w:hint="default" w:ascii="Calibri" w:hAnsi="Calibri" w:eastAsia="宋体" w:cs="Times New Roman"/>
          <w:color w:val="auto"/>
          <w:sz w:val="21"/>
          <w:szCs w:val="21"/>
          <w:lang w:val="en-US" w:eastAsia="zh-CN"/>
        </w:rPr>
        <w:t>根据《西安市财政局转发省财政厅关于组织地方预算单位做好2025 年政府采购脱贫地区农副产品工作的通知》（市财函〔2025〕142号）要求，各级预算单位应预留项目采购总额的15%（不低于）用于“832平台”采购农副产品；结合本项目实际情况，成交供应商应承诺预留不小于本项目预算金额的15%（即111118.00元）用于“832平台”农副产品采购，届时需提供相关证明材料。</w:t>
      </w:r>
    </w:p>
    <w:p w14:paraId="1A68D1E5">
      <w:pPr>
        <w:spacing w:line="360" w:lineRule="auto"/>
        <w:ind w:firstLine="420" w:firstLineChars="200"/>
        <w:rPr>
          <w:rFonts w:ascii="宋体" w:hAnsi="宋体" w:cs="宋体"/>
          <w:color w:val="auto"/>
          <w:sz w:val="21"/>
          <w:szCs w:val="21"/>
        </w:rPr>
      </w:pPr>
      <w:r>
        <w:rPr>
          <w:rFonts w:hint="eastAsia" w:ascii="宋体" w:hAnsi="宋体" w:cs="宋体"/>
          <w:color w:val="auto"/>
          <w:sz w:val="21"/>
          <w:szCs w:val="21"/>
        </w:rPr>
        <w:t>（二）乙方不得将项目转让、分包给其它单位或个人。</w:t>
      </w:r>
    </w:p>
    <w:p w14:paraId="5D5D9534">
      <w:pPr>
        <w:spacing w:line="360" w:lineRule="auto"/>
        <w:ind w:firstLine="420" w:firstLineChars="200"/>
        <w:rPr>
          <w:rFonts w:ascii="宋体" w:hAnsi="宋体" w:cs="宋体"/>
          <w:color w:val="auto"/>
          <w:sz w:val="21"/>
          <w:szCs w:val="21"/>
        </w:rPr>
      </w:pPr>
      <w:r>
        <w:rPr>
          <w:rFonts w:hint="eastAsia" w:ascii="宋体" w:hAnsi="宋体" w:cs="宋体"/>
          <w:color w:val="auto"/>
          <w:sz w:val="21"/>
          <w:szCs w:val="21"/>
        </w:rPr>
        <w:t>（</w:t>
      </w:r>
      <w:r>
        <w:rPr>
          <w:rFonts w:hint="eastAsia" w:ascii="宋体" w:hAnsi="宋体" w:cs="宋体"/>
          <w:color w:val="auto"/>
          <w:sz w:val="21"/>
          <w:szCs w:val="21"/>
          <w:lang w:val="en-US" w:eastAsia="zh-CN"/>
        </w:rPr>
        <w:t>三</w:t>
      </w:r>
      <w:r>
        <w:rPr>
          <w:rFonts w:hint="eastAsia" w:ascii="宋体" w:hAnsi="宋体" w:cs="宋体"/>
          <w:color w:val="auto"/>
          <w:sz w:val="21"/>
          <w:szCs w:val="21"/>
        </w:rPr>
        <w:t>）乙方的投标文件和承诺等内容将列入合同。</w:t>
      </w:r>
    </w:p>
    <w:p w14:paraId="6D6F6742">
      <w:pPr>
        <w:autoSpaceDE w:val="0"/>
        <w:autoSpaceDN w:val="0"/>
        <w:adjustRightInd w:val="0"/>
        <w:spacing w:line="360" w:lineRule="auto"/>
        <w:ind w:firstLine="422" w:firstLineChars="200"/>
        <w:rPr>
          <w:rFonts w:ascii="宋体" w:hAnsi="宋体" w:cs="宋体"/>
          <w:b/>
          <w:bCs/>
          <w:color w:val="auto"/>
          <w:sz w:val="21"/>
          <w:szCs w:val="21"/>
        </w:rPr>
      </w:pPr>
      <w:r>
        <w:rPr>
          <w:rFonts w:hint="eastAsia" w:ascii="宋体" w:hAnsi="宋体" w:cs="宋体"/>
          <w:b/>
          <w:bCs/>
          <w:color w:val="auto"/>
          <w:sz w:val="21"/>
          <w:szCs w:val="21"/>
        </w:rPr>
        <w:t>十</w:t>
      </w:r>
      <w:r>
        <w:rPr>
          <w:rFonts w:hint="eastAsia" w:ascii="宋体" w:hAnsi="宋体" w:cs="宋体"/>
          <w:b/>
          <w:bCs/>
          <w:color w:val="auto"/>
          <w:sz w:val="21"/>
          <w:szCs w:val="21"/>
          <w:lang w:val="en-US" w:eastAsia="zh-CN"/>
        </w:rPr>
        <w:t>二</w:t>
      </w:r>
      <w:r>
        <w:rPr>
          <w:rFonts w:hint="eastAsia" w:ascii="宋体" w:hAnsi="宋体" w:cs="宋体"/>
          <w:b/>
          <w:bCs/>
          <w:color w:val="auto"/>
          <w:sz w:val="21"/>
          <w:szCs w:val="21"/>
        </w:rPr>
        <w:t>、合同争议解决的方式</w:t>
      </w:r>
    </w:p>
    <w:p w14:paraId="34CE3AFF">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rPr>
        <w:t>本合同在履行过程中发生的争议，由甲、乙双方当事人协商解决，协商不成的按下列第</w:t>
      </w:r>
      <w:r>
        <w:rPr>
          <w:rFonts w:hint="eastAsia" w:ascii="宋体" w:hAnsi="宋体" w:cs="宋体"/>
          <w:bCs/>
          <w:color w:val="auto"/>
          <w:sz w:val="21"/>
          <w:szCs w:val="21"/>
          <w:u w:val="single"/>
        </w:rPr>
        <w:t>（二）</w:t>
      </w:r>
      <w:r>
        <w:rPr>
          <w:rFonts w:hint="eastAsia" w:ascii="宋体" w:hAnsi="宋体" w:cs="宋体"/>
          <w:bCs/>
          <w:color w:val="auto"/>
          <w:sz w:val="21"/>
          <w:szCs w:val="21"/>
        </w:rPr>
        <w:t>种方式解决：</w:t>
      </w:r>
    </w:p>
    <w:p w14:paraId="2014F126">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rPr>
        <w:t>（一）提交</w:t>
      </w:r>
      <w:r>
        <w:rPr>
          <w:rFonts w:hint="eastAsia" w:ascii="宋体" w:hAnsi="宋体" w:cs="宋体"/>
          <w:bCs/>
          <w:color w:val="auto"/>
          <w:sz w:val="21"/>
          <w:szCs w:val="21"/>
          <w:u w:val="single"/>
        </w:rPr>
        <w:t xml:space="preserve">      </w:t>
      </w:r>
      <w:r>
        <w:rPr>
          <w:rFonts w:hint="eastAsia" w:ascii="宋体" w:hAnsi="宋体" w:cs="宋体"/>
          <w:bCs/>
          <w:color w:val="auto"/>
          <w:sz w:val="21"/>
          <w:szCs w:val="21"/>
        </w:rPr>
        <w:t>仲裁委员会仲裁；</w:t>
      </w:r>
    </w:p>
    <w:p w14:paraId="7F2CA626">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rPr>
        <w:t>（二）依法向甲方所在地人民法院起诉。</w:t>
      </w:r>
    </w:p>
    <w:p w14:paraId="672DF9CE">
      <w:pPr>
        <w:autoSpaceDE w:val="0"/>
        <w:autoSpaceDN w:val="0"/>
        <w:adjustRightInd w:val="0"/>
        <w:spacing w:line="360" w:lineRule="auto"/>
        <w:ind w:firstLine="422" w:firstLineChars="200"/>
        <w:rPr>
          <w:rFonts w:ascii="宋体" w:hAnsi="宋体" w:cs="宋体"/>
          <w:b/>
          <w:bCs/>
          <w:color w:val="auto"/>
          <w:sz w:val="21"/>
          <w:szCs w:val="21"/>
        </w:rPr>
      </w:pPr>
      <w:r>
        <w:rPr>
          <w:rFonts w:hint="eastAsia" w:ascii="宋体" w:hAnsi="宋体" w:cs="宋体"/>
          <w:b/>
          <w:bCs/>
          <w:color w:val="auto"/>
          <w:sz w:val="21"/>
          <w:szCs w:val="21"/>
        </w:rPr>
        <w:t>十</w:t>
      </w:r>
      <w:r>
        <w:rPr>
          <w:rFonts w:hint="eastAsia" w:ascii="宋体" w:hAnsi="宋体" w:cs="宋体"/>
          <w:b/>
          <w:bCs/>
          <w:color w:val="auto"/>
          <w:sz w:val="21"/>
          <w:szCs w:val="21"/>
          <w:lang w:val="en-US" w:eastAsia="zh-CN"/>
        </w:rPr>
        <w:t>三</w:t>
      </w:r>
      <w:r>
        <w:rPr>
          <w:rFonts w:hint="eastAsia" w:ascii="宋体" w:hAnsi="宋体" w:cs="宋体"/>
          <w:b/>
          <w:bCs/>
          <w:color w:val="auto"/>
          <w:sz w:val="21"/>
          <w:szCs w:val="21"/>
        </w:rPr>
        <w:t>、合同生效</w:t>
      </w:r>
    </w:p>
    <w:p w14:paraId="4BE6497D">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rPr>
        <w:t>（一）本合同须经甲、乙双方的法定代表人（授权代理人）在合同书上签字并加盖本单位公章后正式生效。</w:t>
      </w:r>
    </w:p>
    <w:p w14:paraId="18CF21BC">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rPr>
        <w:t>（二）合同生效后，甲、乙双方须严格执行本合同条款的规定，全面履行合同，违者按《中华人民共和国合同法》的有关规定承担相应责任。</w:t>
      </w:r>
    </w:p>
    <w:p w14:paraId="0C99175B">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rPr>
        <w:t>（三）本合同一式</w:t>
      </w:r>
      <w:r>
        <w:rPr>
          <w:rFonts w:hint="eastAsia" w:ascii="宋体" w:hAnsi="宋体" w:cs="宋体"/>
          <w:bCs/>
          <w:color w:val="auto"/>
          <w:sz w:val="21"/>
          <w:szCs w:val="21"/>
          <w:u w:val="single"/>
        </w:rPr>
        <w:t xml:space="preserve">   </w:t>
      </w:r>
      <w:r>
        <w:rPr>
          <w:rFonts w:hint="eastAsia" w:ascii="宋体" w:hAnsi="宋体" w:cs="宋体"/>
          <w:bCs/>
          <w:color w:val="auto"/>
          <w:sz w:val="21"/>
          <w:szCs w:val="21"/>
        </w:rPr>
        <w:t>份，甲乙双方各执</w:t>
      </w:r>
      <w:r>
        <w:rPr>
          <w:rFonts w:hint="eastAsia" w:ascii="宋体" w:hAnsi="宋体" w:cs="宋体"/>
          <w:bCs/>
          <w:color w:val="auto"/>
          <w:sz w:val="21"/>
          <w:szCs w:val="21"/>
          <w:u w:val="single"/>
        </w:rPr>
        <w:t xml:space="preserve">    </w:t>
      </w:r>
      <w:r>
        <w:rPr>
          <w:rFonts w:hint="eastAsia" w:ascii="宋体" w:hAnsi="宋体" w:cs="宋体"/>
          <w:bCs/>
          <w:color w:val="auto"/>
          <w:sz w:val="21"/>
          <w:szCs w:val="21"/>
        </w:rPr>
        <w:t>份。</w:t>
      </w:r>
    </w:p>
    <w:p w14:paraId="321359DD">
      <w:pPr>
        <w:autoSpaceDE w:val="0"/>
        <w:autoSpaceDN w:val="0"/>
        <w:adjustRightInd w:val="0"/>
        <w:spacing w:line="360" w:lineRule="auto"/>
        <w:ind w:firstLine="420" w:firstLineChars="200"/>
        <w:rPr>
          <w:rFonts w:ascii="宋体" w:hAnsi="宋体" w:cs="宋体"/>
          <w:bCs/>
          <w:color w:val="auto"/>
          <w:sz w:val="21"/>
          <w:szCs w:val="21"/>
        </w:rPr>
      </w:pPr>
      <w:r>
        <w:rPr>
          <w:rFonts w:hint="eastAsia" w:ascii="宋体" w:hAnsi="宋体" w:cs="宋体"/>
          <w:bCs/>
          <w:color w:val="auto"/>
          <w:sz w:val="21"/>
          <w:szCs w:val="21"/>
        </w:rPr>
        <w:t>（四）本合同如有未尽事宜，甲、乙双方协商解决。</w:t>
      </w:r>
    </w:p>
    <w:p w14:paraId="7B6E81EC">
      <w:pPr>
        <w:rPr>
          <w:rFonts w:hint="default"/>
          <w:color w:val="auto"/>
          <w:lang w:val="en-US" w:eastAsia="zh-CN"/>
        </w:rPr>
      </w:pPr>
    </w:p>
    <w:tbl>
      <w:tblPr>
        <w:tblStyle w:val="5"/>
        <w:tblW w:w="0" w:type="auto"/>
        <w:jc w:val="center"/>
        <w:tblLayout w:type="fixed"/>
        <w:tblCellMar>
          <w:top w:w="0" w:type="dxa"/>
          <w:left w:w="108" w:type="dxa"/>
          <w:bottom w:w="0" w:type="dxa"/>
          <w:right w:w="108" w:type="dxa"/>
        </w:tblCellMar>
      </w:tblPr>
      <w:tblGrid>
        <w:gridCol w:w="4643"/>
        <w:gridCol w:w="4643"/>
      </w:tblGrid>
      <w:tr w14:paraId="6D5A839E">
        <w:tblPrEx>
          <w:tblCellMar>
            <w:top w:w="0" w:type="dxa"/>
            <w:left w:w="108" w:type="dxa"/>
            <w:bottom w:w="0" w:type="dxa"/>
            <w:right w:w="108" w:type="dxa"/>
          </w:tblCellMar>
        </w:tblPrEx>
        <w:trPr>
          <w:jc w:val="center"/>
        </w:trPr>
        <w:tc>
          <w:tcPr>
            <w:tcW w:w="4643" w:type="dxa"/>
            <w:noWrap w:val="0"/>
            <w:vAlign w:val="top"/>
          </w:tcPr>
          <w:p w14:paraId="6FC4227A">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甲方名称（盖章）:</w:t>
            </w:r>
          </w:p>
          <w:p w14:paraId="2F842DB9">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地址：</w:t>
            </w:r>
          </w:p>
          <w:p w14:paraId="6CB2693D">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代表人（签字）：</w:t>
            </w:r>
          </w:p>
          <w:p w14:paraId="4AB02EF6">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电话：</w:t>
            </w:r>
          </w:p>
          <w:p w14:paraId="3DB57572">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开户银行：</w:t>
            </w:r>
          </w:p>
          <w:p w14:paraId="4BAC9E5F">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帐号：</w:t>
            </w:r>
          </w:p>
        </w:tc>
        <w:tc>
          <w:tcPr>
            <w:tcW w:w="4643" w:type="dxa"/>
            <w:noWrap w:val="0"/>
            <w:vAlign w:val="top"/>
          </w:tcPr>
          <w:p w14:paraId="0D909DD3">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乙方名称（盖章）:</w:t>
            </w:r>
          </w:p>
          <w:p w14:paraId="16732E2F">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地址：</w:t>
            </w:r>
          </w:p>
          <w:p w14:paraId="3D9E5AAE">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代表人（签字）：</w:t>
            </w:r>
          </w:p>
          <w:p w14:paraId="38AE0E78">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电话：</w:t>
            </w:r>
          </w:p>
          <w:p w14:paraId="6E751A0D">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开户银行：</w:t>
            </w:r>
          </w:p>
          <w:p w14:paraId="207364F7">
            <w:pPr>
              <w:spacing w:line="480" w:lineRule="auto"/>
              <w:ind w:firstLine="420" w:firstLineChars="200"/>
              <w:rPr>
                <w:rFonts w:hint="default" w:cs="宋体" w:asciiTheme="minorAscii" w:hAnsiTheme="minorAscii" w:eastAsiaTheme="minorEastAsia"/>
                <w:i w:val="0"/>
                <w:iCs w:val="0"/>
                <w:color w:val="auto"/>
                <w:spacing w:val="0"/>
                <w:sz w:val="21"/>
                <w:szCs w:val="21"/>
                <w:highlight w:val="none"/>
              </w:rPr>
            </w:pPr>
            <w:r>
              <w:rPr>
                <w:rFonts w:hint="default" w:cs="宋体" w:asciiTheme="minorAscii" w:hAnsiTheme="minorAscii" w:eastAsiaTheme="minorEastAsia"/>
                <w:i w:val="0"/>
                <w:iCs w:val="0"/>
                <w:color w:val="auto"/>
                <w:spacing w:val="0"/>
                <w:sz w:val="21"/>
                <w:szCs w:val="21"/>
                <w:highlight w:val="none"/>
              </w:rPr>
              <w:t>帐号：</w:t>
            </w:r>
          </w:p>
        </w:tc>
      </w:tr>
    </w:tbl>
    <w:p w14:paraId="4E577814">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47B08"/>
    <w:rsid w:val="08805328"/>
    <w:rsid w:val="104565F6"/>
    <w:rsid w:val="12641821"/>
    <w:rsid w:val="172E4241"/>
    <w:rsid w:val="1765342C"/>
    <w:rsid w:val="184637E9"/>
    <w:rsid w:val="244B0A92"/>
    <w:rsid w:val="31277D3A"/>
    <w:rsid w:val="39B918A7"/>
    <w:rsid w:val="3B7844CB"/>
    <w:rsid w:val="3E33753A"/>
    <w:rsid w:val="4B924100"/>
    <w:rsid w:val="588C0756"/>
    <w:rsid w:val="5A2473C4"/>
    <w:rsid w:val="5AF47F0F"/>
    <w:rsid w:val="5EB32EE1"/>
    <w:rsid w:val="60E23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pPr>
    <w:rPr>
      <w:rFonts w:hint="default" w:ascii="Times New Roman" w:hAnsi="Times New Roman" w:eastAsia="宋体" w:cs="Times New Roman"/>
      <w:sz w:val="24"/>
      <w:szCs w:val="24"/>
    </w:rPr>
  </w:style>
  <w:style w:type="paragraph" w:styleId="2">
    <w:name w:val="heading 1"/>
    <w:basedOn w:val="1"/>
    <w:next w:val="1"/>
    <w:unhideWhenUsed/>
    <w:qFormat/>
    <w:uiPriority w:val="1"/>
    <w:pPr>
      <w:ind w:left="3"/>
      <w:jc w:val="center"/>
      <w:outlineLvl w:val="0"/>
    </w:pPr>
    <w:rPr>
      <w:rFonts w:hint="default" w:ascii="宋体" w:hAnsi="宋体" w:eastAsia="宋体"/>
      <w:b/>
      <w:sz w:val="32"/>
      <w:szCs w:val="24"/>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unhideWhenUsed/>
    <w:qFormat/>
    <w:uiPriority w:val="1"/>
    <w:pPr>
      <w:ind w:left="520"/>
    </w:pPr>
    <w:rPr>
      <w:rFonts w:hint="default" w:ascii="宋体" w:hAnsi="宋体" w:eastAsia="宋体"/>
      <w:sz w:val="21"/>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2810</Words>
  <Characters>2872</Characters>
  <Lines>0</Lines>
  <Paragraphs>0</Paragraphs>
  <TotalTime>23</TotalTime>
  <ScaleCrop>false</ScaleCrop>
  <LinksUpToDate>false</LinksUpToDate>
  <CharactersWithSpaces>3034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2024-03-04T04:06:00Z</dcterms:created>
  <dc:creator>朱娟</dc:creator>
  <cp:lastModifiedBy>朱娟</cp:lastModifiedBy>
  <dcterms:modified xsi:type="dcterms:W3CDTF">2025-04-17T11:01:34Z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3462EB6B9BAC48D2BC9A9974E76301A3_13</vt:lpwstr>
  </property>
  <property fmtid="{D5CDD505-2E9C-101B-9397-08002B2CF9AE}" pid="4" name="KSOTemplateDocerSaveRecord">
    <vt:lpwstr>eyJoZGlkIjoiNTRiN2YxNjhiMWY2MjU3ZTk1NTcyNzUwOWE2ZjIyNTQiLCJ1c2VySWQiOiIyMDIwODMyODIifQ==</vt:lpwstr>
  </property>
</Properties>
</file>