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E294F">
      <w:pPr>
        <w:pStyle w:val="6"/>
        <w:ind w:left="0" w:leftChars="0" w:firstLine="0" w:firstLineChars="0"/>
        <w:rPr>
          <w:rFonts w:ascii="宋体" w:hAnsi="宋体"/>
          <w:b/>
          <w:bCs/>
          <w:sz w:val="44"/>
          <w:szCs w:val="44"/>
          <w:lang w:val="zh-CN"/>
        </w:rPr>
      </w:pPr>
    </w:p>
    <w:p w14:paraId="3ACD941F">
      <w:pPr>
        <w:rPr>
          <w:rFonts w:hint="eastAsia" w:ascii="宋体" w:hAnsi="宋体"/>
          <w:sz w:val="52"/>
          <w:szCs w:val="52"/>
        </w:rPr>
      </w:pPr>
      <w:r>
        <w:rPr>
          <w:rFonts w:hint="eastAsia" w:ascii="宋体" w:hAnsi="宋体"/>
          <w:b/>
          <w:sz w:val="32"/>
          <w:szCs w:val="32"/>
        </w:rPr>
        <w:t xml:space="preserve">政府采购项目                               </w:t>
      </w:r>
    </w:p>
    <w:p w14:paraId="003696ED">
      <w:pPr>
        <w:jc w:val="center"/>
        <w:rPr>
          <w:rFonts w:hint="eastAsia" w:ascii="宋体" w:hAnsi="宋体"/>
          <w:sz w:val="52"/>
          <w:szCs w:val="52"/>
        </w:rPr>
      </w:pPr>
      <w:bookmarkStart w:id="0" w:name="_GoBack"/>
      <w:bookmarkEnd w:id="0"/>
    </w:p>
    <w:p w14:paraId="67949842">
      <w:pPr>
        <w:jc w:val="center"/>
        <w:rPr>
          <w:rFonts w:hint="eastAsia" w:ascii="宋体" w:hAnsi="宋体"/>
          <w:b/>
          <w:sz w:val="72"/>
          <w:szCs w:val="72"/>
        </w:rPr>
      </w:pPr>
      <w:r>
        <w:rPr>
          <w:rFonts w:hint="eastAsia" w:ascii="宋体" w:hAnsi="宋体"/>
          <w:b/>
          <w:sz w:val="72"/>
          <w:szCs w:val="72"/>
        </w:rPr>
        <w:t>供 货 合 同</w:t>
      </w:r>
    </w:p>
    <w:p w14:paraId="179DB7D0">
      <w:pPr>
        <w:jc w:val="center"/>
        <w:rPr>
          <w:rFonts w:hint="eastAsia" w:ascii="宋体" w:hAnsi="宋体"/>
          <w:sz w:val="30"/>
          <w:szCs w:val="30"/>
        </w:rPr>
      </w:pPr>
      <w:r>
        <w:rPr>
          <w:rFonts w:hint="eastAsia" w:ascii="宋体" w:hAnsi="宋体"/>
          <w:sz w:val="30"/>
          <w:szCs w:val="30"/>
        </w:rPr>
        <w:t>(</w:t>
      </w:r>
      <w:r>
        <w:rPr>
          <w:rFonts w:hint="eastAsia" w:ascii="宋体" w:hAnsi="宋体"/>
          <w:sz w:val="30"/>
          <w:szCs w:val="30"/>
          <w:lang w:val="en-US" w:eastAsia="zh-CN"/>
        </w:rPr>
        <w:t>项目</w:t>
      </w:r>
      <w:r>
        <w:rPr>
          <w:rFonts w:hint="eastAsia" w:ascii="宋体" w:hAnsi="宋体"/>
          <w:sz w:val="30"/>
          <w:szCs w:val="30"/>
        </w:rPr>
        <w:t>编号：)</w:t>
      </w:r>
    </w:p>
    <w:p w14:paraId="6ED2F48A">
      <w:pPr>
        <w:jc w:val="center"/>
        <w:rPr>
          <w:rFonts w:hint="eastAsia" w:ascii="宋体" w:hAnsi="宋体"/>
          <w:sz w:val="30"/>
          <w:szCs w:val="30"/>
        </w:rPr>
      </w:pPr>
    </w:p>
    <w:p w14:paraId="7EACA1A7">
      <w:pPr>
        <w:pStyle w:val="7"/>
        <w:ind w:left="0" w:leftChars="0" w:firstLine="0" w:firstLineChars="0"/>
        <w:rPr>
          <w:rFonts w:hint="eastAsia"/>
        </w:rPr>
      </w:pPr>
    </w:p>
    <w:p w14:paraId="59C2B5BD">
      <w:pPr>
        <w:jc w:val="center"/>
        <w:rPr>
          <w:rFonts w:hint="eastAsia" w:ascii="宋体" w:hAnsi="宋体"/>
          <w:sz w:val="30"/>
          <w:szCs w:val="30"/>
        </w:rPr>
      </w:pPr>
    </w:p>
    <w:p w14:paraId="2EB0986A">
      <w:pPr>
        <w:jc w:val="center"/>
        <w:rPr>
          <w:rFonts w:hint="eastAsia" w:ascii="宋体" w:hAnsi="宋体"/>
          <w:sz w:val="30"/>
          <w:szCs w:val="30"/>
        </w:rPr>
      </w:pPr>
    </w:p>
    <w:p w14:paraId="4E22E129">
      <w:pPr>
        <w:jc w:val="center"/>
        <w:rPr>
          <w:rFonts w:hint="eastAsia" w:ascii="宋体" w:hAnsi="宋体"/>
          <w:sz w:val="30"/>
          <w:szCs w:val="30"/>
        </w:rPr>
      </w:pPr>
    </w:p>
    <w:p w14:paraId="5062AAA8">
      <w:pPr>
        <w:jc w:val="center"/>
        <w:rPr>
          <w:rFonts w:hint="eastAsia" w:ascii="宋体" w:hAnsi="宋体"/>
          <w:sz w:val="30"/>
          <w:szCs w:val="30"/>
        </w:rPr>
      </w:pPr>
    </w:p>
    <w:p w14:paraId="5F91EB48">
      <w:pPr>
        <w:ind w:firstLine="2080" w:firstLineChars="650"/>
        <w:rPr>
          <w:rFonts w:hint="eastAsia" w:ascii="宋体" w:hAnsi="宋体"/>
          <w:sz w:val="32"/>
          <w:szCs w:val="32"/>
        </w:rPr>
      </w:pPr>
      <w:r>
        <w:rPr>
          <w:rFonts w:hint="eastAsia" w:ascii="宋体" w:hAnsi="宋体"/>
          <w:sz w:val="32"/>
          <w:szCs w:val="32"/>
        </w:rPr>
        <w:t>甲  方：西安市中心血站</w:t>
      </w:r>
    </w:p>
    <w:p w14:paraId="408CA2E3">
      <w:pPr>
        <w:tabs>
          <w:tab w:val="left" w:pos="480"/>
        </w:tabs>
        <w:ind w:firstLine="640" w:firstLineChars="200"/>
        <w:rPr>
          <w:rFonts w:hint="eastAsia" w:ascii="宋体" w:hAnsi="宋体"/>
          <w:sz w:val="32"/>
          <w:szCs w:val="32"/>
        </w:rPr>
      </w:pPr>
      <w:r>
        <w:rPr>
          <w:rFonts w:hint="eastAsia" w:ascii="宋体" w:hAnsi="宋体"/>
          <w:sz w:val="32"/>
          <w:szCs w:val="32"/>
        </w:rPr>
        <w:t xml:space="preserve">         乙  方： </w:t>
      </w:r>
    </w:p>
    <w:p w14:paraId="08C860E7">
      <w:pPr>
        <w:rPr>
          <w:rFonts w:hint="eastAsia" w:ascii="宋体" w:hAnsi="宋体"/>
          <w:sz w:val="32"/>
          <w:szCs w:val="32"/>
        </w:rPr>
      </w:pPr>
      <w:r>
        <w:rPr>
          <w:rFonts w:hint="eastAsia" w:ascii="宋体" w:hAnsi="宋体"/>
          <w:sz w:val="32"/>
          <w:szCs w:val="32"/>
        </w:rPr>
        <w:t xml:space="preserve">             鉴证方：</w:t>
      </w:r>
    </w:p>
    <w:p w14:paraId="35E72403">
      <w:pPr>
        <w:jc w:val="center"/>
        <w:rPr>
          <w:rFonts w:hint="eastAsia" w:ascii="宋体" w:hAnsi="宋体"/>
          <w:sz w:val="30"/>
          <w:szCs w:val="30"/>
        </w:rPr>
      </w:pPr>
    </w:p>
    <w:p w14:paraId="23A48212">
      <w:pPr>
        <w:jc w:val="center"/>
        <w:rPr>
          <w:rFonts w:hint="eastAsia" w:ascii="宋体" w:hAnsi="宋体"/>
          <w:sz w:val="32"/>
          <w:szCs w:val="32"/>
        </w:rPr>
      </w:pPr>
      <w:r>
        <w:rPr>
          <w:rFonts w:hint="eastAsia" w:ascii="宋体" w:hAnsi="宋体"/>
          <w:sz w:val="32"/>
          <w:szCs w:val="32"/>
        </w:rPr>
        <w:t>202 年 月</w:t>
      </w:r>
    </w:p>
    <w:p w14:paraId="6F4E2DE1">
      <w:pPr>
        <w:jc w:val="center"/>
        <w:rPr>
          <w:rFonts w:hint="eastAsia"/>
        </w:rPr>
      </w:pPr>
      <w:r>
        <w:rPr>
          <w:rFonts w:hint="eastAsia" w:ascii="宋体" w:hAnsi="宋体"/>
          <w:sz w:val="32"/>
          <w:szCs w:val="32"/>
        </w:rPr>
        <w:t>中国  西安</w:t>
      </w:r>
    </w:p>
    <w:p w14:paraId="6DBEFE4C">
      <w:pPr>
        <w:spacing w:line="360" w:lineRule="auto"/>
        <w:ind w:firstLine="481"/>
        <w:jc w:val="left"/>
        <w:outlineLvl w:val="9"/>
        <w:rPr>
          <w:rFonts w:ascii="黑体" w:hAnsi="??" w:eastAsia="黑体" w:cs="??"/>
          <w:b/>
          <w:sz w:val="24"/>
          <w:highlight w:val="none"/>
          <w:u w:val="single"/>
        </w:rPr>
      </w:pPr>
      <w:r>
        <w:rPr>
          <w:rFonts w:hint="eastAsia" w:ascii="黑体" w:hAnsi="??" w:eastAsia="黑体" w:cs="??"/>
          <w:b/>
          <w:sz w:val="24"/>
          <w:highlight w:val="none"/>
          <w:u w:val="single"/>
        </w:rPr>
        <w:t>注：本合同仅为合同的参考文本，合同签订双方可根据项目的具体要求进行修订。</w:t>
      </w:r>
    </w:p>
    <w:p w14:paraId="0A988F92">
      <w:pPr>
        <w:rPr>
          <w:rFonts w:hint="eastAsia" w:ascii="宋体" w:hAnsi="宋体"/>
          <w:sz w:val="32"/>
          <w:szCs w:val="32"/>
        </w:rPr>
      </w:pPr>
      <w:r>
        <w:rPr>
          <w:rFonts w:hint="eastAsia" w:ascii="宋体" w:hAnsi="宋体"/>
          <w:sz w:val="32"/>
          <w:szCs w:val="32"/>
        </w:rPr>
        <w:br w:type="page"/>
      </w:r>
    </w:p>
    <w:p w14:paraId="3854809B">
      <w:pPr>
        <w:jc w:val="center"/>
        <w:rPr>
          <w:rFonts w:hint="eastAsia" w:ascii="宋体" w:hAnsi="宋体"/>
          <w:b/>
          <w:sz w:val="36"/>
          <w:szCs w:val="36"/>
        </w:rPr>
      </w:pPr>
      <w:r>
        <w:rPr>
          <w:rFonts w:hint="eastAsia" w:ascii="宋体" w:hAnsi="宋体"/>
          <w:b/>
          <w:sz w:val="36"/>
          <w:szCs w:val="36"/>
        </w:rPr>
        <w:t>供 货 合 同</w:t>
      </w:r>
    </w:p>
    <w:p w14:paraId="176D00B8">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甲方：西安市中心血站</w:t>
      </w:r>
    </w:p>
    <w:p w14:paraId="484339F4">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乙方：</w:t>
      </w:r>
    </w:p>
    <w:p w14:paraId="5FB1C68F">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 xml:space="preserve">鉴证方： </w:t>
      </w:r>
    </w:p>
    <w:p w14:paraId="49DF7260">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ascii="宋体" w:hAnsi="宋体"/>
          <w:sz w:val="28"/>
          <w:szCs w:val="28"/>
        </w:rPr>
      </w:pPr>
      <w:r>
        <w:rPr>
          <w:rFonts w:hint="eastAsia" w:ascii="宋体" w:hAnsi="宋体"/>
          <w:sz w:val="28"/>
          <w:szCs w:val="28"/>
        </w:rPr>
        <w:t>依据《中华人民共和国政府采购法》、《中华人民共和国招标投标法》、《中华人民共和国民法典》以及</w:t>
      </w:r>
      <w:r>
        <w:rPr>
          <w:rFonts w:hint="eastAsia" w:ascii="宋体" w:hAnsi="宋体"/>
          <w:sz w:val="28"/>
          <w:szCs w:val="28"/>
          <w:lang w:val="en-US" w:eastAsia="zh-CN"/>
        </w:rPr>
        <w:t>中标人的投标</w:t>
      </w:r>
      <w:r>
        <w:rPr>
          <w:rFonts w:hint="eastAsia" w:ascii="宋体" w:hAnsi="宋体"/>
          <w:sz w:val="28"/>
          <w:szCs w:val="28"/>
        </w:rPr>
        <w:t>文件正本和澄清表，经甲、乙双方协商，达成如下条款。</w:t>
      </w:r>
    </w:p>
    <w:p w14:paraId="3FB0284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2" w:firstLineChars="200"/>
        <w:textAlignment w:val="auto"/>
        <w:outlineLvl w:val="9"/>
        <w:rPr>
          <w:rFonts w:hint="eastAsia" w:ascii="宋体" w:hAnsi="宋体"/>
          <w:b/>
          <w:sz w:val="28"/>
          <w:szCs w:val="28"/>
        </w:rPr>
      </w:pPr>
      <w:r>
        <w:rPr>
          <w:rFonts w:hint="eastAsia" w:ascii="宋体" w:hAnsi="宋体"/>
          <w:b/>
          <w:sz w:val="28"/>
          <w:szCs w:val="28"/>
        </w:rPr>
        <w:t>一、合同标的物内容及数量</w:t>
      </w:r>
    </w:p>
    <w:tbl>
      <w:tblPr>
        <w:tblStyle w:val="8"/>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2166"/>
        <w:gridCol w:w="3016"/>
        <w:gridCol w:w="994"/>
        <w:gridCol w:w="1059"/>
        <w:gridCol w:w="1059"/>
      </w:tblGrid>
      <w:tr w14:paraId="52E6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65BA088D">
            <w:pPr>
              <w:tabs>
                <w:tab w:val="left" w:pos="480"/>
              </w:tabs>
              <w:jc w:val="center"/>
              <w:rPr>
                <w:rFonts w:ascii="宋体" w:hAnsi="宋体"/>
                <w:szCs w:val="21"/>
              </w:rPr>
            </w:pPr>
            <w:r>
              <w:rPr>
                <w:rFonts w:hint="eastAsia" w:ascii="宋体" w:hAnsi="宋体"/>
                <w:szCs w:val="21"/>
              </w:rPr>
              <w:t>序号</w:t>
            </w:r>
          </w:p>
        </w:tc>
        <w:tc>
          <w:tcPr>
            <w:tcW w:w="2166" w:type="dxa"/>
            <w:tcBorders>
              <w:top w:val="single" w:color="auto" w:sz="4" w:space="0"/>
              <w:left w:val="single" w:color="auto" w:sz="4" w:space="0"/>
              <w:bottom w:val="single" w:color="auto" w:sz="4" w:space="0"/>
              <w:right w:val="single" w:color="auto" w:sz="4" w:space="0"/>
            </w:tcBorders>
            <w:vAlign w:val="center"/>
          </w:tcPr>
          <w:p w14:paraId="3E6513AE">
            <w:pPr>
              <w:tabs>
                <w:tab w:val="left" w:pos="480"/>
              </w:tabs>
              <w:jc w:val="center"/>
              <w:rPr>
                <w:rFonts w:ascii="宋体" w:hAnsi="宋体"/>
                <w:szCs w:val="21"/>
              </w:rPr>
            </w:pPr>
            <w:r>
              <w:rPr>
                <w:rFonts w:hint="eastAsia" w:ascii="宋体" w:hAnsi="宋体"/>
                <w:szCs w:val="21"/>
              </w:rPr>
              <w:t>货物名称</w:t>
            </w:r>
          </w:p>
        </w:tc>
        <w:tc>
          <w:tcPr>
            <w:tcW w:w="3016" w:type="dxa"/>
            <w:tcBorders>
              <w:top w:val="single" w:color="auto" w:sz="4" w:space="0"/>
              <w:left w:val="single" w:color="auto" w:sz="4" w:space="0"/>
              <w:bottom w:val="single" w:color="auto" w:sz="4" w:space="0"/>
              <w:right w:val="single" w:color="auto" w:sz="4" w:space="0"/>
            </w:tcBorders>
            <w:vAlign w:val="center"/>
          </w:tcPr>
          <w:p w14:paraId="5BF6707B">
            <w:pPr>
              <w:tabs>
                <w:tab w:val="left" w:pos="480"/>
              </w:tabs>
              <w:jc w:val="center"/>
              <w:rPr>
                <w:rFonts w:ascii="宋体" w:hAnsi="宋体"/>
                <w:szCs w:val="21"/>
              </w:rPr>
            </w:pPr>
            <w:r>
              <w:rPr>
                <w:rFonts w:hint="eastAsia" w:ascii="宋体" w:hAnsi="宋体"/>
                <w:szCs w:val="21"/>
              </w:rPr>
              <w:t>规格参数</w:t>
            </w:r>
          </w:p>
        </w:tc>
        <w:tc>
          <w:tcPr>
            <w:tcW w:w="994" w:type="dxa"/>
            <w:tcBorders>
              <w:top w:val="single" w:color="auto" w:sz="4" w:space="0"/>
              <w:left w:val="single" w:color="auto" w:sz="4" w:space="0"/>
              <w:bottom w:val="single" w:color="auto" w:sz="4" w:space="0"/>
              <w:right w:val="single" w:color="auto" w:sz="4" w:space="0"/>
            </w:tcBorders>
            <w:vAlign w:val="center"/>
          </w:tcPr>
          <w:p w14:paraId="40876143">
            <w:pPr>
              <w:tabs>
                <w:tab w:val="left" w:pos="480"/>
              </w:tabs>
              <w:jc w:val="center"/>
              <w:rPr>
                <w:rFonts w:ascii="宋体" w:hAnsi="宋体"/>
                <w:szCs w:val="21"/>
              </w:rPr>
            </w:pPr>
            <w:r>
              <w:rPr>
                <w:rFonts w:hint="eastAsia" w:ascii="宋体" w:hAnsi="宋体"/>
                <w:szCs w:val="21"/>
              </w:rPr>
              <w:t>数量</w:t>
            </w:r>
          </w:p>
        </w:tc>
        <w:tc>
          <w:tcPr>
            <w:tcW w:w="1059" w:type="dxa"/>
            <w:tcBorders>
              <w:top w:val="single" w:color="auto" w:sz="4" w:space="0"/>
              <w:left w:val="single" w:color="auto" w:sz="4" w:space="0"/>
              <w:bottom w:val="single" w:color="auto" w:sz="4" w:space="0"/>
              <w:right w:val="single" w:color="auto" w:sz="4" w:space="0"/>
            </w:tcBorders>
            <w:vAlign w:val="top"/>
          </w:tcPr>
          <w:p w14:paraId="0514A658">
            <w:pPr>
              <w:tabs>
                <w:tab w:val="left" w:pos="480"/>
              </w:tabs>
              <w:jc w:val="center"/>
              <w:rPr>
                <w:rFonts w:ascii="宋体" w:hAnsi="宋体"/>
                <w:szCs w:val="21"/>
              </w:rPr>
            </w:pPr>
            <w:r>
              <w:rPr>
                <w:rFonts w:hint="eastAsia" w:ascii="宋体" w:hAnsi="宋体"/>
                <w:szCs w:val="21"/>
              </w:rPr>
              <w:t>产地</w:t>
            </w:r>
          </w:p>
        </w:tc>
        <w:tc>
          <w:tcPr>
            <w:tcW w:w="1059" w:type="dxa"/>
            <w:tcBorders>
              <w:top w:val="single" w:color="auto" w:sz="4" w:space="0"/>
              <w:left w:val="single" w:color="auto" w:sz="4" w:space="0"/>
              <w:bottom w:val="single" w:color="auto" w:sz="4" w:space="0"/>
              <w:right w:val="single" w:color="auto" w:sz="4" w:space="0"/>
            </w:tcBorders>
            <w:vAlign w:val="top"/>
          </w:tcPr>
          <w:p w14:paraId="03725F77">
            <w:pPr>
              <w:tabs>
                <w:tab w:val="left" w:pos="480"/>
              </w:tabs>
              <w:jc w:val="center"/>
              <w:rPr>
                <w:rFonts w:ascii="宋体" w:hAnsi="宋体"/>
                <w:szCs w:val="21"/>
              </w:rPr>
            </w:pPr>
            <w:r>
              <w:rPr>
                <w:rFonts w:hint="eastAsia" w:ascii="宋体" w:hAnsi="宋体"/>
                <w:szCs w:val="21"/>
              </w:rPr>
              <w:t>备注</w:t>
            </w:r>
          </w:p>
        </w:tc>
      </w:tr>
      <w:tr w14:paraId="40A90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1BD8622B">
            <w:pPr>
              <w:tabs>
                <w:tab w:val="left" w:pos="480"/>
              </w:tabs>
              <w:jc w:val="center"/>
              <w:rPr>
                <w:rFonts w:ascii="宋体" w:hAnsi="宋体"/>
                <w:szCs w:val="21"/>
              </w:rPr>
            </w:pPr>
            <w:r>
              <w:rPr>
                <w:rFonts w:hint="eastAsia" w:ascii="宋体" w:hAnsi="宋体"/>
                <w:szCs w:val="21"/>
              </w:rPr>
              <w:t>1</w:t>
            </w:r>
          </w:p>
        </w:tc>
        <w:tc>
          <w:tcPr>
            <w:tcW w:w="2166" w:type="dxa"/>
            <w:tcBorders>
              <w:top w:val="single" w:color="auto" w:sz="4" w:space="0"/>
              <w:left w:val="single" w:color="auto" w:sz="4" w:space="0"/>
              <w:bottom w:val="single" w:color="auto" w:sz="4" w:space="0"/>
              <w:right w:val="single" w:color="auto" w:sz="4" w:space="0"/>
            </w:tcBorders>
            <w:vAlign w:val="top"/>
          </w:tcPr>
          <w:p w14:paraId="3B6F3F91">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8067E87">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46D0D0CD">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028CC27D">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186A835B">
            <w:pPr>
              <w:tabs>
                <w:tab w:val="left" w:pos="480"/>
              </w:tabs>
              <w:jc w:val="center"/>
              <w:rPr>
                <w:rFonts w:ascii="宋体" w:hAnsi="宋体"/>
                <w:szCs w:val="21"/>
              </w:rPr>
            </w:pPr>
          </w:p>
        </w:tc>
      </w:tr>
      <w:tr w14:paraId="28863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F7FC33B">
            <w:pPr>
              <w:tabs>
                <w:tab w:val="left" w:pos="480"/>
              </w:tabs>
              <w:jc w:val="center"/>
              <w:rPr>
                <w:rFonts w:ascii="宋体" w:hAnsi="宋体"/>
                <w:szCs w:val="21"/>
              </w:rPr>
            </w:pPr>
            <w:r>
              <w:rPr>
                <w:rFonts w:hint="eastAsia" w:ascii="宋体" w:hAnsi="宋体"/>
                <w:szCs w:val="21"/>
              </w:rPr>
              <w:t>2</w:t>
            </w:r>
          </w:p>
        </w:tc>
        <w:tc>
          <w:tcPr>
            <w:tcW w:w="2166" w:type="dxa"/>
            <w:tcBorders>
              <w:top w:val="single" w:color="auto" w:sz="4" w:space="0"/>
              <w:left w:val="single" w:color="auto" w:sz="4" w:space="0"/>
              <w:bottom w:val="single" w:color="auto" w:sz="4" w:space="0"/>
              <w:right w:val="single" w:color="auto" w:sz="4" w:space="0"/>
            </w:tcBorders>
            <w:vAlign w:val="top"/>
          </w:tcPr>
          <w:p w14:paraId="6DDCB064">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E34C67D">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35413428">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716E5DC6">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D41E4C4">
            <w:pPr>
              <w:tabs>
                <w:tab w:val="left" w:pos="480"/>
              </w:tabs>
              <w:jc w:val="center"/>
              <w:rPr>
                <w:rFonts w:ascii="宋体" w:hAnsi="宋体"/>
                <w:szCs w:val="21"/>
              </w:rPr>
            </w:pPr>
          </w:p>
        </w:tc>
      </w:tr>
      <w:tr w14:paraId="55CE9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2E5775A8">
            <w:pPr>
              <w:tabs>
                <w:tab w:val="left" w:pos="480"/>
              </w:tabs>
              <w:jc w:val="center"/>
              <w:rPr>
                <w:rFonts w:ascii="宋体" w:hAnsi="宋体"/>
                <w:szCs w:val="21"/>
              </w:rPr>
            </w:pPr>
            <w:r>
              <w:rPr>
                <w:rFonts w:hint="eastAsia" w:ascii="宋体" w:hAnsi="宋体"/>
                <w:szCs w:val="21"/>
              </w:rPr>
              <w:t>3</w:t>
            </w:r>
          </w:p>
        </w:tc>
        <w:tc>
          <w:tcPr>
            <w:tcW w:w="2166" w:type="dxa"/>
            <w:tcBorders>
              <w:top w:val="single" w:color="auto" w:sz="4" w:space="0"/>
              <w:left w:val="single" w:color="auto" w:sz="4" w:space="0"/>
              <w:bottom w:val="single" w:color="auto" w:sz="4" w:space="0"/>
              <w:right w:val="single" w:color="auto" w:sz="4" w:space="0"/>
            </w:tcBorders>
            <w:vAlign w:val="top"/>
          </w:tcPr>
          <w:p w14:paraId="428DD7DF">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529C251C">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051B919F">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3DF74179">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732B1C3E">
            <w:pPr>
              <w:tabs>
                <w:tab w:val="left" w:pos="480"/>
              </w:tabs>
              <w:jc w:val="center"/>
              <w:rPr>
                <w:rFonts w:ascii="宋体" w:hAnsi="宋体"/>
                <w:szCs w:val="21"/>
              </w:rPr>
            </w:pPr>
          </w:p>
        </w:tc>
      </w:tr>
      <w:tr w14:paraId="6E2EF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4D3AC64C">
            <w:pPr>
              <w:tabs>
                <w:tab w:val="left" w:pos="480"/>
              </w:tabs>
              <w:jc w:val="center"/>
              <w:rPr>
                <w:rFonts w:hint="eastAsia" w:ascii="宋体" w:hAnsi="宋体"/>
                <w:szCs w:val="21"/>
              </w:rPr>
            </w:pPr>
            <w:r>
              <w:rPr>
                <w:rFonts w:hint="eastAsia" w:ascii="宋体" w:hAnsi="宋体"/>
                <w:szCs w:val="21"/>
              </w:rPr>
              <w:t>4</w:t>
            </w:r>
          </w:p>
        </w:tc>
        <w:tc>
          <w:tcPr>
            <w:tcW w:w="2166" w:type="dxa"/>
            <w:tcBorders>
              <w:top w:val="single" w:color="auto" w:sz="4" w:space="0"/>
              <w:left w:val="single" w:color="auto" w:sz="4" w:space="0"/>
              <w:bottom w:val="single" w:color="auto" w:sz="4" w:space="0"/>
              <w:right w:val="single" w:color="auto" w:sz="4" w:space="0"/>
            </w:tcBorders>
            <w:vAlign w:val="top"/>
          </w:tcPr>
          <w:p w14:paraId="36095722">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1D6EF273">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366E2623">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1133646">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4CF3952C">
            <w:pPr>
              <w:tabs>
                <w:tab w:val="left" w:pos="480"/>
              </w:tabs>
              <w:jc w:val="center"/>
              <w:rPr>
                <w:rFonts w:ascii="宋体" w:hAnsi="宋体"/>
                <w:szCs w:val="21"/>
              </w:rPr>
            </w:pPr>
          </w:p>
        </w:tc>
      </w:tr>
      <w:tr w14:paraId="725A0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09C8831">
            <w:pPr>
              <w:tabs>
                <w:tab w:val="left" w:pos="480"/>
              </w:tabs>
              <w:jc w:val="center"/>
              <w:rPr>
                <w:rFonts w:hint="eastAsia" w:ascii="宋体" w:hAnsi="宋体"/>
                <w:szCs w:val="21"/>
              </w:rPr>
            </w:pPr>
            <w:r>
              <w:rPr>
                <w:rFonts w:hint="eastAsia" w:ascii="宋体" w:hAnsi="宋体"/>
                <w:szCs w:val="21"/>
              </w:rPr>
              <w:t>5</w:t>
            </w:r>
          </w:p>
        </w:tc>
        <w:tc>
          <w:tcPr>
            <w:tcW w:w="2166" w:type="dxa"/>
            <w:tcBorders>
              <w:top w:val="single" w:color="auto" w:sz="4" w:space="0"/>
              <w:left w:val="single" w:color="auto" w:sz="4" w:space="0"/>
              <w:bottom w:val="single" w:color="auto" w:sz="4" w:space="0"/>
              <w:right w:val="single" w:color="auto" w:sz="4" w:space="0"/>
            </w:tcBorders>
            <w:vAlign w:val="top"/>
          </w:tcPr>
          <w:p w14:paraId="0193503C">
            <w:pPr>
              <w:rPr>
                <w:rFonts w:hint="eastAsia" w:ascii="宋体" w:hAnsi="宋体"/>
              </w:rPr>
            </w:pPr>
          </w:p>
        </w:tc>
        <w:tc>
          <w:tcPr>
            <w:tcW w:w="3016" w:type="dxa"/>
            <w:tcBorders>
              <w:top w:val="single" w:color="auto" w:sz="4" w:space="0"/>
              <w:left w:val="single" w:color="auto" w:sz="4" w:space="0"/>
              <w:bottom w:val="single" w:color="auto" w:sz="4" w:space="0"/>
              <w:right w:val="single" w:color="auto" w:sz="4" w:space="0"/>
            </w:tcBorders>
            <w:vAlign w:val="top"/>
          </w:tcPr>
          <w:p w14:paraId="6238C297">
            <w:pPr>
              <w:rPr>
                <w:rFonts w:ascii="宋体" w:hAnsi="宋体"/>
              </w:rPr>
            </w:pPr>
          </w:p>
        </w:tc>
        <w:tc>
          <w:tcPr>
            <w:tcW w:w="994" w:type="dxa"/>
            <w:tcBorders>
              <w:top w:val="single" w:color="auto" w:sz="4" w:space="0"/>
              <w:left w:val="single" w:color="auto" w:sz="4" w:space="0"/>
              <w:bottom w:val="single" w:color="auto" w:sz="4" w:space="0"/>
              <w:right w:val="single" w:color="auto" w:sz="4" w:space="0"/>
            </w:tcBorders>
            <w:vAlign w:val="top"/>
          </w:tcPr>
          <w:p w14:paraId="161221DA">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70CF199">
            <w:pPr>
              <w:rPr>
                <w:rFonts w:hint="eastAsia" w:ascii="宋体" w:hAnsi="宋体"/>
              </w:rPr>
            </w:pPr>
          </w:p>
        </w:tc>
        <w:tc>
          <w:tcPr>
            <w:tcW w:w="1059" w:type="dxa"/>
            <w:tcBorders>
              <w:top w:val="single" w:color="auto" w:sz="4" w:space="0"/>
              <w:left w:val="single" w:color="auto" w:sz="4" w:space="0"/>
              <w:bottom w:val="single" w:color="auto" w:sz="4" w:space="0"/>
              <w:right w:val="single" w:color="auto" w:sz="4" w:space="0"/>
            </w:tcBorders>
            <w:vAlign w:val="top"/>
          </w:tcPr>
          <w:p w14:paraId="22FEF403">
            <w:pPr>
              <w:tabs>
                <w:tab w:val="left" w:pos="480"/>
              </w:tabs>
              <w:jc w:val="center"/>
              <w:rPr>
                <w:rFonts w:ascii="宋体" w:hAnsi="宋体"/>
                <w:szCs w:val="21"/>
              </w:rPr>
            </w:pPr>
          </w:p>
        </w:tc>
      </w:tr>
      <w:tr w14:paraId="7B857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vAlign w:val="center"/>
          </w:tcPr>
          <w:p w14:paraId="3454DCAD">
            <w:pPr>
              <w:tabs>
                <w:tab w:val="left" w:pos="480"/>
              </w:tabs>
              <w:jc w:val="center"/>
              <w:rPr>
                <w:rFonts w:hint="default" w:ascii="宋体" w:hAnsi="宋体" w:eastAsia="宋体"/>
                <w:szCs w:val="21"/>
                <w:lang w:val="en-US" w:eastAsia="zh-CN"/>
              </w:rPr>
            </w:pPr>
            <w:r>
              <w:rPr>
                <w:rFonts w:hint="eastAsia" w:ascii="宋体" w:hAnsi="宋体"/>
                <w:szCs w:val="21"/>
                <w:lang w:val="en-US" w:eastAsia="zh-CN"/>
              </w:rPr>
              <w:t>...</w:t>
            </w:r>
          </w:p>
        </w:tc>
        <w:tc>
          <w:tcPr>
            <w:tcW w:w="8294" w:type="dxa"/>
            <w:gridSpan w:val="5"/>
            <w:tcBorders>
              <w:top w:val="single" w:color="auto" w:sz="4" w:space="0"/>
              <w:left w:val="single" w:color="auto" w:sz="4" w:space="0"/>
              <w:bottom w:val="single" w:color="auto" w:sz="4" w:space="0"/>
              <w:right w:val="single" w:color="auto" w:sz="4" w:space="0"/>
            </w:tcBorders>
            <w:vAlign w:val="center"/>
          </w:tcPr>
          <w:p w14:paraId="3359D9CC">
            <w:pPr>
              <w:tabs>
                <w:tab w:val="left" w:pos="480"/>
              </w:tabs>
              <w:jc w:val="center"/>
              <w:rPr>
                <w:rFonts w:ascii="宋体" w:hAnsi="宋体"/>
                <w:szCs w:val="21"/>
              </w:rPr>
            </w:pPr>
          </w:p>
        </w:tc>
      </w:tr>
    </w:tbl>
    <w:p w14:paraId="06195E50">
      <w:pPr>
        <w:keepNext w:val="0"/>
        <w:keepLines w:val="0"/>
        <w:pageBreakBefore w:val="0"/>
        <w:widowControl w:val="0"/>
        <w:tabs>
          <w:tab w:val="left" w:pos="480"/>
        </w:tabs>
        <w:kinsoku/>
        <w:wordWrap/>
        <w:overflowPunct/>
        <w:topLinePunct w:val="0"/>
        <w:autoSpaceDE/>
        <w:autoSpaceDN/>
        <w:bidi w:val="0"/>
        <w:adjustRightInd/>
        <w:snapToGrid/>
        <w:spacing w:line="480" w:lineRule="auto"/>
        <w:jc w:val="left"/>
        <w:textAlignment w:val="auto"/>
        <w:outlineLvl w:val="9"/>
        <w:rPr>
          <w:rFonts w:ascii="宋体" w:hAnsi="宋体"/>
          <w:sz w:val="28"/>
          <w:szCs w:val="28"/>
        </w:rPr>
      </w:pPr>
      <w:r>
        <w:rPr>
          <w:rFonts w:hint="eastAsia" w:ascii="宋体" w:hAnsi="宋体"/>
          <w:sz w:val="28"/>
          <w:szCs w:val="28"/>
        </w:rPr>
        <w:t>（一）乙方保证对所售卖的设备拥有所有权和处分权。</w:t>
      </w:r>
    </w:p>
    <w:p w14:paraId="5EEA61E6">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（二）乙方保证所供设备不侵犯第三人的知识产权和其他权益。</w:t>
      </w:r>
    </w:p>
    <w:p w14:paraId="72CFFA6C">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rPr>
      </w:pPr>
      <w:r>
        <w:rPr>
          <w:rFonts w:hint="eastAsia" w:ascii="宋体" w:hAnsi="宋体"/>
          <w:b/>
          <w:sz w:val="28"/>
          <w:szCs w:val="28"/>
        </w:rPr>
        <w:t>二、合同价款</w:t>
      </w:r>
    </w:p>
    <w:p w14:paraId="10F8985E">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（一）合同总价款为人民币（大写）</w:t>
      </w:r>
      <w:r>
        <w:rPr>
          <w:rFonts w:hint="eastAsia" w:ascii="宋体" w:hAnsi="宋体"/>
          <w:sz w:val="28"/>
          <w:szCs w:val="28"/>
          <w:u w:val="single"/>
        </w:rPr>
        <w:t>整</w:t>
      </w:r>
      <w:r>
        <w:rPr>
          <w:rFonts w:hint="eastAsia" w:ascii="宋体" w:hAnsi="宋体"/>
          <w:sz w:val="28"/>
          <w:szCs w:val="28"/>
        </w:rPr>
        <w:t>（￥</w:t>
      </w:r>
      <w:r>
        <w:rPr>
          <w:rFonts w:hint="eastAsia" w:ascii="宋体" w:hAnsi="宋体" w:cs="仿宋_GB2312"/>
          <w:sz w:val="28"/>
          <w:szCs w:val="28"/>
          <w:u w:val="single"/>
        </w:rPr>
        <w:t>00.00</w:t>
      </w:r>
      <w:r>
        <w:rPr>
          <w:rFonts w:hint="eastAsia" w:ascii="宋体" w:hAnsi="宋体"/>
          <w:sz w:val="28"/>
          <w:szCs w:val="28"/>
        </w:rPr>
        <w:t>）。</w:t>
      </w:r>
    </w:p>
    <w:p w14:paraId="39DE11C9">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sz w:val="28"/>
          <w:szCs w:val="28"/>
        </w:rPr>
      </w:pPr>
      <w:r>
        <w:rPr>
          <w:rFonts w:hint="eastAsia" w:ascii="宋体" w:hAnsi="宋体"/>
          <w:sz w:val="28"/>
          <w:szCs w:val="28"/>
        </w:rPr>
        <w:t>（二）合同总价包括：货物费、运输费（含保险费）、安装调试费、检测验收费及其它费用。</w:t>
      </w:r>
    </w:p>
    <w:p w14:paraId="4E364A2C">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default" w:ascii="宋体" w:hAnsi="宋体" w:eastAsia="宋体"/>
          <w:sz w:val="28"/>
          <w:szCs w:val="28"/>
          <w:u w:val="single"/>
          <w:lang w:val="en-US" w:eastAsia="zh-CN"/>
        </w:rPr>
      </w:pPr>
      <w:r>
        <w:rPr>
          <w:rFonts w:hint="eastAsia" w:ascii="宋体" w:hAnsi="宋体"/>
          <w:sz w:val="28"/>
          <w:szCs w:val="28"/>
        </w:rPr>
        <w:t>（三）</w:t>
      </w:r>
      <w:r>
        <w:rPr>
          <w:rFonts w:hint="eastAsia" w:ascii="宋体" w:hAnsi="宋体"/>
          <w:sz w:val="28"/>
          <w:szCs w:val="28"/>
          <w:lang w:val="en-US" w:eastAsia="zh-CN"/>
        </w:rPr>
        <w:t xml:space="preserve"> </w:t>
      </w:r>
      <w:r>
        <w:rPr>
          <w:rFonts w:hint="eastAsia" w:ascii="宋体" w:hAnsi="宋体"/>
          <w:sz w:val="28"/>
          <w:szCs w:val="28"/>
          <w:u w:val="single"/>
          <w:lang w:val="en-US" w:eastAsia="zh-CN"/>
        </w:rPr>
        <w:t xml:space="preserve">                           。</w:t>
      </w:r>
    </w:p>
    <w:p w14:paraId="44142777">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sz w:val="28"/>
          <w:szCs w:val="28"/>
          <w:lang w:eastAsia="zh-CN"/>
        </w:rPr>
      </w:pPr>
      <w:r>
        <w:rPr>
          <w:rFonts w:hint="eastAsia" w:ascii="宋体" w:hAnsi="宋体"/>
          <w:b/>
          <w:sz w:val="28"/>
          <w:szCs w:val="28"/>
        </w:rPr>
        <w:t>三、款项结算</w:t>
      </w:r>
    </w:p>
    <w:p w14:paraId="6B5C317E">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color w:val="auto"/>
          <w:sz w:val="28"/>
          <w:szCs w:val="28"/>
        </w:rPr>
      </w:pPr>
      <w:r>
        <w:rPr>
          <w:rFonts w:hint="eastAsia" w:ascii="宋体" w:hAnsi="宋体"/>
          <w:b w:val="0"/>
          <w:bCs/>
          <w:sz w:val="28"/>
          <w:szCs w:val="28"/>
          <w:lang w:val="en-US" w:eastAsia="zh-CN"/>
        </w:rPr>
        <w:t>1、</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rPr>
        <w:t>。</w:t>
      </w:r>
    </w:p>
    <w:p w14:paraId="427670CA">
      <w:pPr>
        <w:pStyle w:val="10"/>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eastAsia="宋体"/>
          <w:lang w:val="en-US" w:eastAsia="zh-CN"/>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kern w:val="2"/>
          <w:sz w:val="28"/>
          <w:szCs w:val="28"/>
          <w:lang w:val="en-US" w:eastAsia="zh-CN" w:bidi="ar-SA"/>
        </w:rPr>
        <w:t xml:space="preserve"> 2、付款前，乙方应向甲方提供等额合法有效发票，附详细清单。</w:t>
      </w:r>
    </w:p>
    <w:p w14:paraId="79551D4D">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outlineLvl w:val="9"/>
        <w:rPr>
          <w:rFonts w:hint="eastAsia" w:ascii="宋体" w:hAnsi="宋体"/>
          <w:b/>
          <w:bCs/>
          <w:sz w:val="28"/>
          <w:szCs w:val="28"/>
        </w:rPr>
      </w:pPr>
      <w:r>
        <w:rPr>
          <w:rFonts w:hint="eastAsia" w:ascii="宋体" w:hAnsi="宋体"/>
          <w:b/>
          <w:sz w:val="28"/>
          <w:szCs w:val="28"/>
        </w:rPr>
        <w:t>四、</w:t>
      </w:r>
      <w:r>
        <w:rPr>
          <w:rFonts w:hint="eastAsia" w:ascii="宋体" w:hAnsi="宋体"/>
          <w:b/>
          <w:bCs/>
          <w:sz w:val="28"/>
          <w:szCs w:val="28"/>
        </w:rPr>
        <w:t>双方的权利和义务</w:t>
      </w:r>
    </w:p>
    <w:p w14:paraId="2C35D8FB">
      <w:pPr>
        <w:keepNext w:val="0"/>
        <w:keepLines w:val="0"/>
        <w:pageBreakBefore w:val="0"/>
        <w:widowControl w:val="0"/>
        <w:kinsoku/>
        <w:wordWrap/>
        <w:overflowPunct/>
        <w:topLinePunct w:val="0"/>
        <w:autoSpaceDE/>
        <w:autoSpaceDN/>
        <w:bidi w:val="0"/>
        <w:adjustRightInd/>
        <w:snapToGrid/>
        <w:spacing w:line="480" w:lineRule="auto"/>
        <w:ind w:firstLine="280" w:firstLineChars="100"/>
        <w:textAlignment w:val="auto"/>
        <w:outlineLvl w:val="9"/>
        <w:rPr>
          <w:rFonts w:hint="eastAsia" w:ascii="宋体" w:hAnsi="宋体"/>
          <w:sz w:val="28"/>
          <w:szCs w:val="28"/>
        </w:rPr>
      </w:pPr>
      <w:r>
        <w:rPr>
          <w:rFonts w:hint="eastAsia" w:ascii="宋体" w:hAnsi="宋体"/>
          <w:sz w:val="28"/>
          <w:szCs w:val="28"/>
        </w:rPr>
        <w:t>（一）甲方的权利和义务</w:t>
      </w:r>
    </w:p>
    <w:p w14:paraId="6950A02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1、甲方保证提供给乙方的资料、信息内容合法，不侵犯第三方的合法权益。如因甲方原因致使乙方遭受第三方追诉的，甲方在其过错范围内承担由此给乙方造成的损失，并承担违约责任。</w:t>
      </w:r>
    </w:p>
    <w:p w14:paraId="02D1591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2、由于乙方原因不能按合同约定履约，甲方有权扣留剩余款项，作为对甲方损失的赔偿，剩余款项已付或不足以赔偿甲方损失的，由乙方另行支付。</w:t>
      </w:r>
    </w:p>
    <w:p w14:paraId="0E1A1FE9">
      <w:pPr>
        <w:keepNext w:val="0"/>
        <w:keepLines w:val="0"/>
        <w:pageBreakBefore w:val="0"/>
        <w:widowControl w:val="0"/>
        <w:kinsoku/>
        <w:wordWrap/>
        <w:overflowPunct/>
        <w:topLinePunct w:val="0"/>
        <w:autoSpaceDE/>
        <w:autoSpaceDN/>
        <w:bidi w:val="0"/>
        <w:adjustRightInd/>
        <w:snapToGrid/>
        <w:spacing w:line="480" w:lineRule="auto"/>
        <w:ind w:firstLine="280" w:firstLineChars="100"/>
        <w:textAlignment w:val="auto"/>
        <w:outlineLvl w:val="9"/>
        <w:rPr>
          <w:rFonts w:hint="eastAsia" w:ascii="宋体" w:hAnsi="宋体" w:eastAsia="宋体" w:cs="宋体"/>
          <w:sz w:val="28"/>
          <w:szCs w:val="28"/>
        </w:rPr>
      </w:pPr>
      <w:r>
        <w:rPr>
          <w:rFonts w:hint="eastAsia" w:ascii="宋体" w:hAnsi="宋体" w:eastAsia="宋体" w:cs="宋体"/>
          <w:sz w:val="28"/>
          <w:szCs w:val="28"/>
        </w:rPr>
        <w:t>（二）乙方的权利和义务</w:t>
      </w:r>
    </w:p>
    <w:p w14:paraId="289C963B">
      <w:pPr>
        <w:keepNext w:val="0"/>
        <w:keepLines w:val="0"/>
        <w:pageBreakBefore w:val="0"/>
        <w:widowControl/>
        <w:kinsoku/>
        <w:wordWrap/>
        <w:overflowPunct/>
        <w:topLinePunct w:val="0"/>
        <w:autoSpaceDE/>
        <w:autoSpaceDN/>
        <w:bidi w:val="0"/>
        <w:adjustRightInd w:val="0"/>
        <w:snapToGrid w:val="0"/>
        <w:spacing w:line="480" w:lineRule="auto"/>
        <w:ind w:firstLine="560" w:firstLineChars="200"/>
        <w:textAlignment w:val="auto"/>
        <w:outlineLvl w:val="9"/>
        <w:rPr>
          <w:rFonts w:hint="eastAsia" w:ascii="宋体" w:hAnsi="宋体" w:eastAsia="宋体" w:cs="宋体"/>
          <w:bCs/>
          <w:sz w:val="28"/>
          <w:szCs w:val="28"/>
        </w:rPr>
      </w:pPr>
      <w:r>
        <w:rPr>
          <w:rFonts w:hint="eastAsia" w:ascii="宋体" w:hAnsi="宋体" w:eastAsia="宋体" w:cs="宋体"/>
          <w:bCs/>
          <w:sz w:val="28"/>
          <w:szCs w:val="28"/>
        </w:rPr>
        <w:t>1、乙方保证在履行本合同过程中，不侵犯第三方的合法权益。如因乙方原因致使甲方遭受第三方追诉的，乙方应承担由此给甲方造成的全部损失，并承担违约责任。</w:t>
      </w:r>
    </w:p>
    <w:p w14:paraId="408A6456">
      <w:pPr>
        <w:keepNext w:val="0"/>
        <w:keepLines w:val="0"/>
        <w:pageBreakBefore w:val="0"/>
        <w:widowControl/>
        <w:tabs>
          <w:tab w:val="left" w:pos="480"/>
        </w:tabs>
        <w:kinsoku/>
        <w:wordWrap/>
        <w:overflowPunct/>
        <w:topLinePunct w:val="0"/>
        <w:autoSpaceDE/>
        <w:autoSpaceDN/>
        <w:bidi w:val="0"/>
        <w:adjustRightInd w:val="0"/>
        <w:snapToGrid w:val="0"/>
        <w:spacing w:line="480" w:lineRule="auto"/>
        <w:ind w:firstLine="560" w:firstLineChars="200"/>
        <w:textAlignment w:val="auto"/>
        <w:outlineLvl w:val="9"/>
        <w:rPr>
          <w:rFonts w:hint="eastAsia" w:ascii="宋体" w:hAnsi="宋体" w:eastAsia="宋体" w:cs="宋体"/>
          <w:bCs/>
          <w:sz w:val="28"/>
          <w:szCs w:val="28"/>
        </w:rPr>
      </w:pPr>
      <w:r>
        <w:rPr>
          <w:rFonts w:hint="eastAsia" w:ascii="宋体" w:hAnsi="宋体" w:eastAsia="宋体" w:cs="宋体"/>
          <w:bCs/>
          <w:sz w:val="28"/>
          <w:szCs w:val="28"/>
        </w:rPr>
        <w:t>2、乙方按照本合同约定，在履行的过程中，不允许利用甲方提供的工作条件和相关资料进行与本项目无关的工作。如因乙方原因致使甲方遭受经济及法律追诉的，由乙方完全承担。</w:t>
      </w:r>
    </w:p>
    <w:p w14:paraId="03A8C5A2">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3、乙方必须对供货现场环境卫生、人员安全、生产安全、防火安全负全责。供货现场的各种活动须服从甲方相关部门的管理、监督，同时做好与其它人员的交叉作业及配合工作。</w:t>
      </w:r>
    </w:p>
    <w:p w14:paraId="6504BA1F">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4、乙方必须加强对供货现场的安全监督、管理，对进入现场的易燃材料应指定专人管理，必要时派人驻守。对当日产生的易燃废料堆放到甲方指定区域，当日应及时清理，消除安全隐患。</w:t>
      </w:r>
    </w:p>
    <w:p w14:paraId="52747248">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5、乙方供货人员要安全文明供货。</w:t>
      </w:r>
    </w:p>
    <w:p w14:paraId="7931728E">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6、乙方供货人员要严防火灾，不准在禁止烟火的地方动用明火；要文明供货，不得在供货现场戏耍和打架斗殴。</w:t>
      </w:r>
    </w:p>
    <w:p w14:paraId="5DCA7B50">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7E3955CE">
      <w:pPr>
        <w:keepNext w:val="0"/>
        <w:keepLines w:val="0"/>
        <w:pageBreakBefore w:val="0"/>
        <w:widowControl/>
        <w:kinsoku/>
        <w:wordWrap/>
        <w:overflowPunct/>
        <w:topLinePunct w:val="0"/>
        <w:autoSpaceDE/>
        <w:autoSpaceDN/>
        <w:bidi w:val="0"/>
        <w:adjustRightInd w:val="0"/>
        <w:snapToGrid w:val="0"/>
        <w:spacing w:line="480" w:lineRule="auto"/>
        <w:ind w:firstLine="560" w:firstLineChars="200"/>
        <w:contextualSpacing/>
        <w:textAlignment w:val="auto"/>
        <w:outlineLvl w:val="9"/>
        <w:rPr>
          <w:rFonts w:hint="eastAsia" w:ascii="宋体" w:hAnsi="宋体" w:eastAsia="宋体" w:cs="宋体"/>
          <w:bCs/>
          <w:kern w:val="36"/>
          <w:sz w:val="28"/>
          <w:szCs w:val="28"/>
        </w:rPr>
      </w:pPr>
      <w:r>
        <w:rPr>
          <w:rFonts w:hint="eastAsia" w:ascii="宋体" w:hAnsi="宋体" w:eastAsia="宋体" w:cs="宋体"/>
          <w:bCs/>
          <w:kern w:val="36"/>
          <w:sz w:val="28"/>
          <w:szCs w:val="28"/>
        </w:rPr>
        <w:t>8、乙方货物需在甲方指定地点有序堆放，垃圾或货物外包装应24小时内清理外运，严禁随意乱堆乱放，影响院内大环境及道路畅通。</w:t>
      </w:r>
    </w:p>
    <w:p w14:paraId="569A3AFB">
      <w:pPr>
        <w:keepNext w:val="0"/>
        <w:keepLines w:val="0"/>
        <w:pageBreakBefore w:val="0"/>
        <w:widowControl/>
        <w:kinsoku/>
        <w:wordWrap/>
        <w:overflowPunct/>
        <w:topLinePunct w:val="0"/>
        <w:autoSpaceDE/>
        <w:autoSpaceDN/>
        <w:bidi w:val="0"/>
        <w:adjustRightInd w:val="0"/>
        <w:snapToGrid w:val="0"/>
        <w:spacing w:line="48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bCs/>
          <w:kern w:val="36"/>
          <w:sz w:val="28"/>
          <w:szCs w:val="28"/>
        </w:rPr>
        <w:t>9、乙方违反上述任意约定，均视为违约。甲方现场管理人员有权制止其行为并劝其离场，乙方应停止供货并整改（停止供货期间造成的损失由乙方自行承担）。若违约金不足以弥补甲方损失的，由乙方另行支付。</w:t>
      </w:r>
    </w:p>
    <w:p w14:paraId="2D2C20E4">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sz w:val="28"/>
          <w:szCs w:val="28"/>
        </w:rPr>
      </w:pPr>
      <w:r>
        <w:rPr>
          <w:rFonts w:hint="eastAsia" w:ascii="宋体" w:hAnsi="宋体"/>
          <w:b/>
          <w:sz w:val="28"/>
          <w:szCs w:val="28"/>
        </w:rPr>
        <w:t>五、交货条件：</w:t>
      </w:r>
    </w:p>
    <w:p w14:paraId="513DBAAB">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（一）交货地点：</w:t>
      </w:r>
      <w:r>
        <w:rPr>
          <w:rFonts w:hint="eastAsia" w:ascii="宋体" w:hAnsi="宋体" w:cs="宋体"/>
          <w:sz w:val="28"/>
          <w:szCs w:val="28"/>
        </w:rPr>
        <w:t>西安市中心血站指定地点。</w:t>
      </w:r>
    </w:p>
    <w:p w14:paraId="685FAA9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lang w:val="en-US" w:eastAsia="zh-CN"/>
        </w:rPr>
      </w:pPr>
      <w:r>
        <w:rPr>
          <w:rFonts w:hint="eastAsia" w:ascii="宋体" w:hAnsi="宋体"/>
          <w:sz w:val="28"/>
          <w:szCs w:val="28"/>
        </w:rPr>
        <w:t>（二）交货期：</w:t>
      </w:r>
      <w:r>
        <w:rPr>
          <w:rFonts w:hint="eastAsia" w:ascii="宋体" w:hAnsi="宋体"/>
          <w:sz w:val="28"/>
          <w:szCs w:val="28"/>
          <w:lang w:val="en-US" w:eastAsia="zh-CN"/>
        </w:rPr>
        <w:t>自合同签订之日起30日内交货。</w:t>
      </w:r>
    </w:p>
    <w:p w14:paraId="3A8245A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2" w:firstLineChars="200"/>
        <w:textAlignment w:val="auto"/>
        <w:outlineLvl w:val="9"/>
        <w:rPr>
          <w:rFonts w:hint="eastAsia" w:ascii="宋体" w:hAnsi="宋体"/>
          <w:b/>
          <w:sz w:val="28"/>
          <w:szCs w:val="28"/>
        </w:rPr>
      </w:pPr>
      <w:r>
        <w:rPr>
          <w:rFonts w:hint="eastAsia" w:ascii="宋体" w:hAnsi="宋体"/>
          <w:b/>
          <w:sz w:val="28"/>
          <w:szCs w:val="28"/>
        </w:rPr>
        <w:t>六、运输</w:t>
      </w:r>
    </w:p>
    <w:p w14:paraId="10C65E7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（一）运输由乙方负责，运杂费已包含在合同总价内，包括从货物供应地点所含的运输费、装卸费、仓储费、保险费等。</w:t>
      </w:r>
    </w:p>
    <w:p w14:paraId="4BA54D5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（二）运输方式由乙方自行选择，但必须保证按期交货。</w:t>
      </w:r>
    </w:p>
    <w:p w14:paraId="21C7733B">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七、质量保证</w:t>
      </w:r>
    </w:p>
    <w:p w14:paraId="70AF14E7">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乙方所供设备必须执行下列条款：</w:t>
      </w:r>
    </w:p>
    <w:p w14:paraId="7C5C4D2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（一）乙方所提供的货物必须符合国家现行有效标准（进口货物有中国进出口商检局认证标志），并为正规制造厂商生产的合格产品，因质量问题而发生的任何故障由乙方负责。</w:t>
      </w:r>
    </w:p>
    <w:p w14:paraId="324B212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（二）乙方承担交货前的一切责任和费用。</w:t>
      </w:r>
    </w:p>
    <w:p w14:paraId="610B17F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（三）在交货地点验收，如发现损坏、缺件等问题，由乙方负责。</w:t>
      </w:r>
    </w:p>
    <w:p w14:paraId="04CB9601">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（四）乙方在发运货物时需提供相应的技术文件，包括操作手册（使用说明）、装箱清单、产品合格证等。</w:t>
      </w:r>
    </w:p>
    <w:p w14:paraId="0DDEA35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（五）免费培训买方操作人员。</w:t>
      </w:r>
    </w:p>
    <w:p w14:paraId="45C7EEAB">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（六）售后服务</w:t>
      </w:r>
    </w:p>
    <w:p w14:paraId="196946B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八、质量验收：</w:t>
      </w:r>
    </w:p>
    <w:p w14:paraId="272F59B4">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eastAsia="宋体"/>
          <w:sz w:val="28"/>
          <w:szCs w:val="28"/>
          <w:lang w:eastAsia="zh-CN"/>
        </w:rPr>
      </w:pPr>
      <w:r>
        <w:rPr>
          <w:rFonts w:hint="eastAsia" w:ascii="宋体" w:hAnsi="宋体"/>
          <w:sz w:val="28"/>
          <w:szCs w:val="28"/>
        </w:rPr>
        <w:t>（一）验收依据：招标文件、投标文件、澄清表（函）；本合同及附件文本</w:t>
      </w:r>
      <w:r>
        <w:rPr>
          <w:rFonts w:hint="eastAsia" w:ascii="宋体" w:hAnsi="宋体"/>
          <w:sz w:val="28"/>
          <w:szCs w:val="28"/>
          <w:lang w:eastAsia="zh-CN"/>
        </w:rPr>
        <w:t>。</w:t>
      </w:r>
    </w:p>
    <w:p w14:paraId="226BB99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48" w:firstLineChars="196"/>
        <w:textAlignment w:val="auto"/>
        <w:outlineLvl w:val="9"/>
        <w:rPr>
          <w:rFonts w:hint="eastAsia" w:ascii="宋体" w:hAnsi="宋体"/>
          <w:sz w:val="28"/>
          <w:szCs w:val="28"/>
        </w:rPr>
      </w:pPr>
      <w:r>
        <w:rPr>
          <w:rFonts w:hint="eastAsia" w:ascii="宋体" w:hAnsi="宋体"/>
          <w:sz w:val="28"/>
          <w:szCs w:val="28"/>
        </w:rPr>
        <w:t>（二）现行的国家标准或国家行政部门颁布的法律法规、规章制度等，是项目验收的另一个重要依据。没有国家标准的，可以参考行业标准。</w:t>
      </w:r>
    </w:p>
    <w:p w14:paraId="4600776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九、技术与服务</w:t>
      </w:r>
    </w:p>
    <w:p w14:paraId="00908E7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（一）技术资料：</w:t>
      </w:r>
    </w:p>
    <w:p w14:paraId="33AE62B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1、货物合格证；</w:t>
      </w:r>
    </w:p>
    <w:p w14:paraId="1509571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2、货物使用说明书（中文）；</w:t>
      </w:r>
    </w:p>
    <w:p w14:paraId="33D6C52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3、进口货物商检证明和报关单；</w:t>
      </w:r>
    </w:p>
    <w:p w14:paraId="298AD78A">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4、项目</w:t>
      </w:r>
      <w:r>
        <w:rPr>
          <w:rFonts w:hint="eastAsia" w:ascii="宋体" w:hAnsi="宋体"/>
          <w:sz w:val="28"/>
          <w:szCs w:val="28"/>
          <w:lang w:val="en-US" w:eastAsia="zh-CN"/>
        </w:rPr>
        <w:t>完成</w:t>
      </w:r>
      <w:r>
        <w:rPr>
          <w:rFonts w:hint="eastAsia" w:ascii="宋体" w:hAnsi="宋体"/>
          <w:sz w:val="28"/>
          <w:szCs w:val="28"/>
        </w:rPr>
        <w:t>资料、检验测试报告；</w:t>
      </w:r>
    </w:p>
    <w:p w14:paraId="6911266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5、其它资料。</w:t>
      </w:r>
    </w:p>
    <w:p w14:paraId="3C244D6C">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lang w:eastAsia="zh-CN"/>
        </w:rPr>
      </w:pPr>
      <w:r>
        <w:rPr>
          <w:rFonts w:hint="eastAsia" w:ascii="宋体" w:hAnsi="宋体"/>
          <w:sz w:val="28"/>
          <w:szCs w:val="28"/>
        </w:rPr>
        <w:t>（二）服务承诺</w:t>
      </w:r>
      <w:r>
        <w:rPr>
          <w:rFonts w:hint="eastAsia" w:ascii="宋体" w:hAnsi="宋体"/>
          <w:sz w:val="28"/>
          <w:szCs w:val="28"/>
          <w:lang w:eastAsia="zh-CN"/>
        </w:rPr>
        <w:t>：</w:t>
      </w:r>
    </w:p>
    <w:p w14:paraId="306A0932">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1、技术服务承诺：乙方免费提供必要的技术支持，包括现场指导、集中授课、专项操作等。</w:t>
      </w:r>
    </w:p>
    <w:p w14:paraId="08668DB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default" w:eastAsia="宋体"/>
          <w:u w:val="single"/>
          <w:lang w:val="en-US" w:eastAsia="zh-CN"/>
        </w:rPr>
      </w:pPr>
      <w:r>
        <w:rPr>
          <w:rFonts w:hint="eastAsia" w:ascii="宋体" w:hAnsi="宋体" w:eastAsia="宋体" w:cs="宋体"/>
          <w:color w:val="000000"/>
          <w:sz w:val="28"/>
          <w:szCs w:val="28"/>
        </w:rPr>
        <w:t>2、</w:t>
      </w:r>
      <w:r>
        <w:rPr>
          <w:rFonts w:hint="eastAsia" w:ascii="宋体" w:hAnsi="宋体" w:cs="宋体"/>
          <w:color w:val="000000"/>
          <w:sz w:val="28"/>
          <w:szCs w:val="28"/>
          <w:u w:val="single"/>
          <w:lang w:val="en-US" w:eastAsia="zh-CN"/>
        </w:rPr>
        <w:t xml:space="preserve">                                    。</w:t>
      </w:r>
    </w:p>
    <w:p w14:paraId="5E54A3C9">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十、违约责任</w:t>
      </w:r>
    </w:p>
    <w:p w14:paraId="6435BC56">
      <w:pPr>
        <w:keepNext w:val="0"/>
        <w:keepLines w:val="0"/>
        <w:pageBreakBefore w:val="0"/>
        <w:widowControl/>
        <w:tabs>
          <w:tab w:val="left" w:pos="0"/>
          <w:tab w:val="center" w:pos="4153"/>
        </w:tabs>
        <w:kinsoku/>
        <w:wordWrap/>
        <w:overflowPunct/>
        <w:topLinePunct w:val="0"/>
        <w:autoSpaceDE/>
        <w:autoSpaceDN/>
        <w:bidi w:val="0"/>
        <w:adjustRightInd w:val="0"/>
        <w:snapToGrid w:val="0"/>
        <w:spacing w:line="480" w:lineRule="auto"/>
        <w:ind w:firstLine="280" w:firstLineChars="100"/>
        <w:textAlignment w:val="auto"/>
        <w:outlineLvl w:val="9"/>
        <w:rPr>
          <w:rFonts w:hint="eastAsia" w:ascii="宋体" w:hAnsi="宋体" w:eastAsia="宋体" w:cs="宋体"/>
          <w:sz w:val="28"/>
          <w:szCs w:val="28"/>
        </w:rPr>
      </w:pPr>
      <w:r>
        <w:rPr>
          <w:rFonts w:hint="eastAsia" w:ascii="宋体" w:hAnsi="宋体" w:eastAsia="宋体" w:cs="宋体"/>
          <w:sz w:val="28"/>
          <w:szCs w:val="28"/>
        </w:rPr>
        <w:t>依据《中华人民共和国民法典》、《中华人民共和国政府采购法》的相关条款和本合同约定，供应商未全面履行合同义务或者发生违约，采购单位会同采购代理机构有权终止合同，依法向中标供应商进行经济索赔，并报请政府采购监督管理机关进行相应的行政处罚。采购单位违约的，应当赔偿给供应商造成的经济损失。</w:t>
      </w:r>
    </w:p>
    <w:p w14:paraId="70C63460">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2" w:firstLineChars="200"/>
        <w:textAlignment w:val="auto"/>
        <w:outlineLvl w:val="9"/>
        <w:rPr>
          <w:rFonts w:hint="eastAsia" w:ascii="宋体" w:hAnsi="宋体"/>
          <w:b/>
          <w:sz w:val="28"/>
          <w:szCs w:val="28"/>
        </w:rPr>
      </w:pPr>
      <w:r>
        <w:rPr>
          <w:rFonts w:hint="eastAsia" w:ascii="宋体" w:hAnsi="宋体"/>
          <w:b/>
          <w:sz w:val="28"/>
          <w:szCs w:val="28"/>
        </w:rPr>
        <w:t>十一、合同争议解决的方式</w:t>
      </w:r>
    </w:p>
    <w:p w14:paraId="517825BD">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本合同在履行过程中发生的争议，由甲、乙双方当事人协商解决，协商不成的按下列</w:t>
      </w:r>
      <w:r>
        <w:rPr>
          <w:rFonts w:hint="eastAsia" w:ascii="宋体" w:hAnsi="宋体"/>
          <w:b w:val="0"/>
          <w:bCs w:val="0"/>
          <w:sz w:val="28"/>
          <w:szCs w:val="28"/>
          <w:u w:val="single"/>
        </w:rPr>
        <w:t>（二）</w:t>
      </w:r>
      <w:r>
        <w:rPr>
          <w:rFonts w:hint="eastAsia" w:ascii="宋体" w:hAnsi="宋体"/>
          <w:b w:val="0"/>
          <w:bCs w:val="0"/>
          <w:sz w:val="28"/>
          <w:szCs w:val="28"/>
          <w:u w:val="single"/>
          <w:vertAlign w:val="subscript"/>
        </w:rPr>
        <w:t xml:space="preserve"> </w:t>
      </w:r>
      <w:r>
        <w:rPr>
          <w:rFonts w:hint="eastAsia" w:ascii="宋体" w:hAnsi="宋体"/>
          <w:b w:val="0"/>
          <w:bCs w:val="0"/>
          <w:sz w:val="28"/>
          <w:szCs w:val="28"/>
        </w:rPr>
        <w:t>种方式解决：</w:t>
      </w:r>
    </w:p>
    <w:p w14:paraId="0ADDC84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（一）提交</w:t>
      </w:r>
      <w:r>
        <w:rPr>
          <w:rFonts w:hint="eastAsia" w:ascii="宋体" w:hAnsi="宋体"/>
          <w:b w:val="0"/>
          <w:bCs w:val="0"/>
          <w:sz w:val="28"/>
          <w:szCs w:val="28"/>
          <w:u w:val="single"/>
        </w:rPr>
        <w:t xml:space="preserve"> 西安 </w:t>
      </w:r>
      <w:r>
        <w:rPr>
          <w:rFonts w:hint="eastAsia" w:ascii="宋体" w:hAnsi="宋体"/>
          <w:b w:val="0"/>
          <w:bCs w:val="0"/>
          <w:sz w:val="28"/>
          <w:szCs w:val="28"/>
        </w:rPr>
        <w:t>仲裁委员会仲裁；</w:t>
      </w:r>
    </w:p>
    <w:p w14:paraId="312E816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b w:val="0"/>
          <w:bCs w:val="0"/>
          <w:sz w:val="28"/>
          <w:szCs w:val="28"/>
        </w:rPr>
      </w:pPr>
      <w:r>
        <w:rPr>
          <w:rFonts w:hint="eastAsia" w:ascii="宋体" w:hAnsi="宋体"/>
          <w:b w:val="0"/>
          <w:bCs w:val="0"/>
          <w:sz w:val="28"/>
          <w:szCs w:val="28"/>
        </w:rPr>
        <w:t>（二）依法向</w:t>
      </w:r>
      <w:r>
        <w:rPr>
          <w:rFonts w:hint="eastAsia" w:ascii="宋体" w:hAnsi="宋体"/>
          <w:b w:val="0"/>
          <w:bCs w:val="0"/>
          <w:sz w:val="28"/>
          <w:szCs w:val="28"/>
          <w:u w:val="single"/>
        </w:rPr>
        <w:t xml:space="preserve"> 雁塔区 </w:t>
      </w:r>
      <w:r>
        <w:rPr>
          <w:rFonts w:hint="eastAsia" w:ascii="宋体" w:hAnsi="宋体"/>
          <w:b w:val="0"/>
          <w:bCs w:val="0"/>
          <w:sz w:val="28"/>
          <w:szCs w:val="28"/>
        </w:rPr>
        <w:t>人民法院起诉。</w:t>
      </w:r>
    </w:p>
    <w:p w14:paraId="6B2B75C9">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十二、合同生效</w:t>
      </w:r>
    </w:p>
    <w:p w14:paraId="5D653BA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本合同一式</w:t>
      </w:r>
      <w:r>
        <w:rPr>
          <w:rFonts w:hint="eastAsia" w:ascii="宋体" w:hAnsi="宋体"/>
          <w:sz w:val="28"/>
          <w:szCs w:val="28"/>
          <w:u w:val="single"/>
          <w:lang w:val="en-US" w:eastAsia="zh-CN"/>
        </w:rPr>
        <w:t xml:space="preserve">   </w:t>
      </w:r>
      <w:r>
        <w:rPr>
          <w:rFonts w:hint="eastAsia" w:ascii="宋体" w:hAnsi="宋体"/>
          <w:sz w:val="28"/>
          <w:szCs w:val="28"/>
        </w:rPr>
        <w:t>份，甲方</w:t>
      </w:r>
      <w:r>
        <w:rPr>
          <w:rFonts w:hint="eastAsia" w:ascii="宋体" w:hAnsi="宋体"/>
          <w:sz w:val="28"/>
          <w:szCs w:val="28"/>
          <w:u w:val="single"/>
          <w:lang w:val="en-US" w:eastAsia="zh-CN"/>
        </w:rPr>
        <w:t xml:space="preserve">   </w:t>
      </w:r>
      <w:r>
        <w:rPr>
          <w:rFonts w:hint="eastAsia" w:ascii="宋体" w:hAnsi="宋体"/>
          <w:sz w:val="28"/>
          <w:szCs w:val="28"/>
        </w:rPr>
        <w:t>份，乙方</w:t>
      </w:r>
      <w:r>
        <w:rPr>
          <w:rFonts w:hint="eastAsia" w:ascii="宋体" w:hAnsi="宋体"/>
          <w:sz w:val="28"/>
          <w:szCs w:val="28"/>
          <w:u w:val="single"/>
          <w:lang w:val="en-US" w:eastAsia="zh-CN"/>
        </w:rPr>
        <w:t xml:space="preserve">   </w:t>
      </w:r>
      <w:r>
        <w:rPr>
          <w:rFonts w:hint="eastAsia" w:ascii="宋体" w:hAnsi="宋体"/>
          <w:sz w:val="28"/>
          <w:szCs w:val="28"/>
        </w:rPr>
        <w:t>份，招标代理机构</w:t>
      </w:r>
      <w:r>
        <w:rPr>
          <w:rFonts w:hint="eastAsia" w:ascii="宋体" w:hAnsi="宋体"/>
          <w:sz w:val="28"/>
          <w:szCs w:val="28"/>
          <w:u w:val="single"/>
        </w:rPr>
        <w:t>壹</w:t>
      </w:r>
      <w:r>
        <w:rPr>
          <w:rFonts w:hint="eastAsia" w:ascii="宋体" w:hAnsi="宋体"/>
          <w:sz w:val="28"/>
          <w:szCs w:val="28"/>
        </w:rPr>
        <w:t>份，本合同甲、乙、确认各方签字盖章后生效，合同执行完毕后，自动失效（合同的服务承诺则长期有效）。</w:t>
      </w:r>
    </w:p>
    <w:p w14:paraId="4772C225">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51" w:firstLineChars="196"/>
        <w:textAlignment w:val="auto"/>
        <w:outlineLvl w:val="9"/>
        <w:rPr>
          <w:rFonts w:hint="eastAsia" w:ascii="宋体" w:hAnsi="宋体"/>
          <w:b/>
          <w:sz w:val="28"/>
          <w:szCs w:val="28"/>
        </w:rPr>
      </w:pPr>
      <w:r>
        <w:rPr>
          <w:rFonts w:hint="eastAsia" w:ascii="宋体" w:hAnsi="宋体"/>
          <w:b/>
          <w:sz w:val="28"/>
          <w:szCs w:val="28"/>
        </w:rPr>
        <w:t>十四、其他事项</w:t>
      </w:r>
    </w:p>
    <w:p w14:paraId="52581DE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（一）西安市财政局政府采购管理处在合同的履行期间以及履行期后，可以随时检查项目的执行情况，对采购内容、标准进行调查核实，并对发现的问题进行处理。</w:t>
      </w:r>
    </w:p>
    <w:p w14:paraId="46040732">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（三）招标文件、投标文件、澄清表（函）、中标通知书、合同附件均成为合同不可分割的部分。</w:t>
      </w:r>
    </w:p>
    <w:p w14:paraId="404CEDCC">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（四）合同未尽事宜，由甲、乙双方协商，作为合同补充，与原合同具有同等法律效力。</w:t>
      </w:r>
    </w:p>
    <w:p w14:paraId="05262578">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（五）合同一经签订，不得擅自变更、中止或终止合同。对确需变更、调整或中止、终止合同的，应按规定履行相应的手续。</w:t>
      </w:r>
    </w:p>
    <w:p w14:paraId="1276387F">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 w:val="28"/>
          <w:szCs w:val="28"/>
        </w:rPr>
      </w:pPr>
      <w:r>
        <w:rPr>
          <w:rFonts w:hint="eastAsia" w:ascii="宋体" w:hAnsi="宋体"/>
          <w:sz w:val="28"/>
          <w:szCs w:val="28"/>
        </w:rPr>
        <w:t>（六）本合同按照中华人民共和国的现行法律进行解释。</w:t>
      </w:r>
    </w:p>
    <w:p w14:paraId="087FFD43">
      <w:pPr>
        <w:keepNext w:val="0"/>
        <w:keepLines w:val="0"/>
        <w:pageBreakBefore w:val="0"/>
        <w:widowControl w:val="0"/>
        <w:tabs>
          <w:tab w:val="left" w:pos="480"/>
        </w:tabs>
        <w:kinsoku/>
        <w:wordWrap/>
        <w:overflowPunct/>
        <w:topLinePunct w:val="0"/>
        <w:autoSpaceDE/>
        <w:autoSpaceDN/>
        <w:bidi w:val="0"/>
        <w:adjustRightInd/>
        <w:snapToGrid/>
        <w:spacing w:line="480" w:lineRule="auto"/>
        <w:ind w:firstLine="560" w:firstLineChars="200"/>
        <w:textAlignment w:val="auto"/>
        <w:outlineLvl w:val="9"/>
        <w:rPr>
          <w:rFonts w:hint="eastAsia" w:ascii="宋体" w:hAnsi="宋体"/>
          <w:szCs w:val="21"/>
        </w:rPr>
      </w:pPr>
      <w:r>
        <w:rPr>
          <w:rFonts w:hint="eastAsia" w:ascii="宋体" w:hAnsi="宋体"/>
          <w:sz w:val="28"/>
          <w:szCs w:val="28"/>
        </w:rPr>
        <w:t>以下无正文</w:t>
      </w:r>
    </w:p>
    <w:p w14:paraId="16592554">
      <w:pPr>
        <w:rPr>
          <w:rFonts w:hint="eastAsia" w:ascii="宋体" w:hAnsi="宋体"/>
          <w:szCs w:val="21"/>
        </w:rPr>
      </w:pPr>
      <w:r>
        <w:rPr>
          <w:rFonts w:hint="eastAsia" w:ascii="宋体" w:hAnsi="宋体"/>
          <w:szCs w:val="21"/>
        </w:rPr>
        <w:br w:type="page"/>
      </w:r>
    </w:p>
    <w:p w14:paraId="2AD2F5EE">
      <w:pPr>
        <w:pStyle w:val="2"/>
        <w:rPr>
          <w:rFonts w:hint="eastAsia"/>
        </w:rPr>
      </w:pPr>
    </w:p>
    <w:p w14:paraId="01680AEC">
      <w:pPr>
        <w:tabs>
          <w:tab w:val="left" w:pos="480"/>
        </w:tabs>
        <w:ind w:firstLine="480" w:firstLineChars="200"/>
        <w:rPr>
          <w:rFonts w:hint="eastAsia" w:ascii="宋体" w:hAnsi="宋体"/>
          <w:sz w:val="24"/>
          <w:szCs w:val="24"/>
        </w:rPr>
      </w:pPr>
      <w:r>
        <w:rPr>
          <w:rFonts w:hint="eastAsia" w:ascii="宋体" w:hAnsi="宋体"/>
          <w:sz w:val="24"/>
          <w:szCs w:val="24"/>
        </w:rPr>
        <w:t>甲  方（法人公章）                          乙  方（法人公章）</w:t>
      </w:r>
    </w:p>
    <w:p w14:paraId="70619C26">
      <w:pPr>
        <w:tabs>
          <w:tab w:val="left" w:pos="480"/>
        </w:tabs>
        <w:ind w:firstLine="480" w:firstLineChars="200"/>
        <w:rPr>
          <w:rFonts w:hint="eastAsia" w:ascii="宋体" w:hAnsi="宋体"/>
          <w:sz w:val="24"/>
          <w:szCs w:val="24"/>
        </w:rPr>
      </w:pPr>
    </w:p>
    <w:p w14:paraId="79FB888D">
      <w:pPr>
        <w:tabs>
          <w:tab w:val="left" w:pos="480"/>
        </w:tabs>
        <w:ind w:firstLine="480" w:firstLineChars="200"/>
        <w:rPr>
          <w:rFonts w:hint="eastAsia" w:ascii="宋体" w:hAnsi="宋体"/>
          <w:sz w:val="24"/>
          <w:szCs w:val="24"/>
        </w:rPr>
      </w:pPr>
      <w:r>
        <w:rPr>
          <w:rFonts w:hint="eastAsia" w:ascii="宋体" w:hAnsi="宋体"/>
          <w:sz w:val="24"/>
          <w:szCs w:val="24"/>
        </w:rPr>
        <w:t xml:space="preserve">单位名称：西安市中心血站                    单位名称： </w:t>
      </w:r>
    </w:p>
    <w:p w14:paraId="1928E1C1">
      <w:pPr>
        <w:tabs>
          <w:tab w:val="left" w:pos="480"/>
        </w:tabs>
        <w:ind w:firstLine="480" w:firstLineChars="200"/>
        <w:rPr>
          <w:rFonts w:hint="eastAsia" w:ascii="宋体" w:hAnsi="宋体"/>
          <w:sz w:val="24"/>
          <w:szCs w:val="24"/>
        </w:rPr>
      </w:pPr>
      <w:r>
        <w:rPr>
          <w:rFonts w:hint="eastAsia" w:ascii="宋体" w:hAnsi="宋体"/>
          <w:sz w:val="24"/>
          <w:szCs w:val="24"/>
        </w:rPr>
        <w:t xml:space="preserve">地  址：西安市朱雀大街407号                地  址： </w:t>
      </w:r>
    </w:p>
    <w:p w14:paraId="017E36FC">
      <w:pPr>
        <w:tabs>
          <w:tab w:val="left" w:pos="480"/>
        </w:tabs>
        <w:ind w:firstLine="480" w:firstLineChars="200"/>
        <w:rPr>
          <w:rFonts w:hint="eastAsia" w:ascii="宋体" w:hAnsi="宋体"/>
          <w:sz w:val="24"/>
          <w:szCs w:val="24"/>
        </w:rPr>
      </w:pPr>
      <w:r>
        <w:rPr>
          <w:rFonts w:hint="eastAsia" w:ascii="宋体" w:hAnsi="宋体"/>
          <w:sz w:val="24"/>
          <w:szCs w:val="24"/>
        </w:rPr>
        <w:t>法定代表人：（签字）                        法定代表人：（签字）</w:t>
      </w:r>
    </w:p>
    <w:p w14:paraId="68C4BE87">
      <w:pPr>
        <w:tabs>
          <w:tab w:val="left" w:pos="480"/>
        </w:tabs>
        <w:ind w:firstLine="480" w:firstLineChars="200"/>
        <w:rPr>
          <w:rFonts w:hint="eastAsia" w:ascii="宋体" w:hAnsi="宋体"/>
          <w:sz w:val="24"/>
          <w:szCs w:val="24"/>
        </w:rPr>
      </w:pPr>
      <w:r>
        <w:rPr>
          <w:rFonts w:hint="eastAsia" w:ascii="宋体" w:hAnsi="宋体"/>
          <w:sz w:val="24"/>
          <w:szCs w:val="24"/>
        </w:rPr>
        <w:t xml:space="preserve"> </w:t>
      </w:r>
    </w:p>
    <w:p w14:paraId="242FBDA9">
      <w:pPr>
        <w:tabs>
          <w:tab w:val="left" w:pos="480"/>
        </w:tabs>
        <w:ind w:firstLine="480" w:firstLineChars="200"/>
        <w:rPr>
          <w:rFonts w:hint="eastAsia" w:ascii="宋体" w:hAnsi="宋体"/>
          <w:sz w:val="24"/>
          <w:szCs w:val="24"/>
        </w:rPr>
      </w:pPr>
      <w:r>
        <w:rPr>
          <w:rFonts w:hint="eastAsia" w:ascii="宋体" w:hAnsi="宋体"/>
          <w:sz w:val="24"/>
          <w:szCs w:val="24"/>
        </w:rPr>
        <w:t>代理人：（签字）                            代理人：（签字）</w:t>
      </w:r>
    </w:p>
    <w:p w14:paraId="0A0D4456">
      <w:pPr>
        <w:tabs>
          <w:tab w:val="left" w:pos="480"/>
        </w:tabs>
        <w:ind w:firstLine="480" w:firstLineChars="200"/>
        <w:rPr>
          <w:rFonts w:hint="eastAsia" w:ascii="宋体" w:hAnsi="宋体"/>
          <w:sz w:val="24"/>
          <w:szCs w:val="24"/>
        </w:rPr>
      </w:pPr>
      <w:r>
        <w:rPr>
          <w:rFonts w:hint="eastAsia" w:ascii="宋体" w:hAnsi="宋体"/>
          <w:sz w:val="24"/>
          <w:szCs w:val="24"/>
        </w:rPr>
        <w:t xml:space="preserve">联系电话： </w:t>
      </w:r>
    </w:p>
    <w:p w14:paraId="5671849C">
      <w:pPr>
        <w:tabs>
          <w:tab w:val="left" w:pos="480"/>
        </w:tabs>
        <w:ind w:left="6238" w:leftChars="2742" w:hanging="480" w:hangingChars="200"/>
        <w:rPr>
          <w:rFonts w:hint="eastAsia" w:ascii="宋体" w:hAnsi="宋体"/>
          <w:sz w:val="24"/>
          <w:szCs w:val="24"/>
        </w:rPr>
      </w:pPr>
      <w:r>
        <w:rPr>
          <w:rFonts w:hint="eastAsia" w:ascii="宋体" w:hAnsi="宋体"/>
          <w:sz w:val="24"/>
          <w:szCs w:val="24"/>
        </w:rPr>
        <w:t xml:space="preserve">开户银行： </w:t>
      </w:r>
    </w:p>
    <w:p w14:paraId="51941DE9">
      <w:pPr>
        <w:tabs>
          <w:tab w:val="left" w:pos="480"/>
        </w:tabs>
        <w:ind w:firstLine="5760" w:firstLineChars="2400"/>
        <w:rPr>
          <w:rFonts w:hint="eastAsia" w:ascii="宋体" w:hAnsi="宋体"/>
          <w:sz w:val="24"/>
          <w:szCs w:val="24"/>
        </w:rPr>
      </w:pPr>
      <w:r>
        <w:rPr>
          <w:rFonts w:hint="eastAsia" w:ascii="宋体" w:hAnsi="宋体"/>
          <w:sz w:val="24"/>
          <w:szCs w:val="24"/>
        </w:rPr>
        <w:t xml:space="preserve">帐  号： </w:t>
      </w:r>
    </w:p>
    <w:p w14:paraId="38C16025">
      <w:pPr>
        <w:tabs>
          <w:tab w:val="left" w:pos="480"/>
        </w:tabs>
        <w:ind w:firstLine="5760" w:firstLineChars="2400"/>
        <w:rPr>
          <w:rFonts w:hint="eastAsia" w:ascii="宋体" w:hAnsi="宋体"/>
          <w:sz w:val="24"/>
          <w:szCs w:val="24"/>
        </w:rPr>
      </w:pPr>
      <w:r>
        <w:rPr>
          <w:rFonts w:hint="eastAsia" w:ascii="宋体" w:hAnsi="宋体"/>
          <w:sz w:val="24"/>
          <w:szCs w:val="24"/>
        </w:rPr>
        <w:t xml:space="preserve">联系电话： </w:t>
      </w:r>
    </w:p>
    <w:p w14:paraId="1712352D">
      <w:pPr>
        <w:tabs>
          <w:tab w:val="left" w:pos="480"/>
        </w:tabs>
        <w:ind w:firstLine="480" w:firstLineChars="200"/>
        <w:rPr>
          <w:rFonts w:hint="eastAsia" w:ascii="宋体" w:hAnsi="宋体"/>
          <w:sz w:val="24"/>
          <w:szCs w:val="24"/>
        </w:rPr>
      </w:pPr>
      <w:r>
        <w:rPr>
          <w:rFonts w:hint="eastAsia" w:ascii="宋体" w:hAnsi="宋体"/>
          <w:sz w:val="24"/>
          <w:szCs w:val="24"/>
        </w:rPr>
        <w:t>签订日期：202</w:t>
      </w:r>
      <w:r>
        <w:rPr>
          <w:rFonts w:hint="eastAsia" w:ascii="宋体" w:hAnsi="宋体"/>
          <w:sz w:val="24"/>
          <w:szCs w:val="24"/>
          <w:lang w:val="en-US" w:eastAsia="zh-CN"/>
        </w:rPr>
        <w:t>5</w:t>
      </w:r>
      <w:r>
        <w:rPr>
          <w:rFonts w:hint="eastAsia" w:ascii="宋体" w:hAnsi="宋体"/>
          <w:sz w:val="24"/>
          <w:szCs w:val="24"/>
        </w:rPr>
        <w:t>年  月   日                  签订日期：202</w:t>
      </w:r>
      <w:r>
        <w:rPr>
          <w:rFonts w:hint="eastAsia" w:ascii="宋体" w:hAnsi="宋体"/>
          <w:sz w:val="24"/>
          <w:szCs w:val="24"/>
          <w:lang w:val="en-US" w:eastAsia="zh-CN"/>
        </w:rPr>
        <w:t>5</w:t>
      </w:r>
      <w:r>
        <w:rPr>
          <w:rFonts w:hint="eastAsia" w:ascii="宋体" w:hAnsi="宋体"/>
          <w:sz w:val="24"/>
          <w:szCs w:val="24"/>
        </w:rPr>
        <w:t>年 月  日</w:t>
      </w:r>
    </w:p>
    <w:p w14:paraId="49D46446">
      <w:pPr>
        <w:ind w:left="424" w:leftChars="202"/>
        <w:rPr>
          <w:rFonts w:hint="eastAsia" w:ascii="宋体" w:hAnsi="宋体"/>
        </w:rPr>
      </w:pPr>
    </w:p>
    <w:p w14:paraId="1EA807DC">
      <w:pPr>
        <w:ind w:left="424" w:leftChars="202"/>
        <w:rPr>
          <w:rFonts w:hint="eastAsia" w:ascii="宋体" w:hAnsi="宋体"/>
        </w:rPr>
      </w:pPr>
    </w:p>
    <w:p w14:paraId="415F18F6">
      <w:pPr>
        <w:pStyle w:val="6"/>
        <w:rPr>
          <w:rFonts w:hint="eastAsia" w:ascii="宋体" w:hAnsi="宋体"/>
        </w:rPr>
      </w:pPr>
    </w:p>
    <w:p w14:paraId="6BAEDF27">
      <w:pPr>
        <w:pStyle w:val="7"/>
        <w:rPr>
          <w:rFonts w:hint="eastAsia" w:ascii="宋体" w:hAnsi="宋体"/>
        </w:rPr>
      </w:pPr>
    </w:p>
    <w:p w14:paraId="06355E77">
      <w:pPr>
        <w:pStyle w:val="7"/>
        <w:rPr>
          <w:rFonts w:hint="eastAsia" w:ascii="宋体" w:hAnsi="宋体"/>
        </w:rPr>
      </w:pPr>
    </w:p>
    <w:p w14:paraId="4E931BE9">
      <w:pPr>
        <w:ind w:left="424" w:leftChars="202"/>
        <w:rPr>
          <w:rFonts w:hint="eastAsia" w:ascii="宋体" w:hAnsi="宋体"/>
        </w:rPr>
      </w:pPr>
    </w:p>
    <w:p w14:paraId="382991C1">
      <w:pPr>
        <w:tabs>
          <w:tab w:val="left" w:pos="480"/>
        </w:tabs>
        <w:ind w:left="424" w:leftChars="202"/>
        <w:rPr>
          <w:rFonts w:hint="eastAsia" w:ascii="宋体" w:hAnsi="宋体"/>
          <w:sz w:val="24"/>
        </w:rPr>
      </w:pPr>
      <w:r>
        <w:rPr>
          <w:rFonts w:hint="eastAsia" w:ascii="宋体" w:hAnsi="宋体"/>
          <w:sz w:val="24"/>
        </w:rPr>
        <w:t>鉴证方（业务专用章）</w:t>
      </w:r>
    </w:p>
    <w:p w14:paraId="425DE829">
      <w:pPr>
        <w:tabs>
          <w:tab w:val="left" w:pos="480"/>
        </w:tabs>
        <w:ind w:left="424" w:leftChars="202" w:firstLine="480" w:firstLineChars="200"/>
        <w:rPr>
          <w:rFonts w:hint="eastAsia" w:ascii="宋体" w:hAnsi="宋体"/>
          <w:sz w:val="24"/>
        </w:rPr>
      </w:pPr>
    </w:p>
    <w:p w14:paraId="1960CB5B">
      <w:pPr>
        <w:tabs>
          <w:tab w:val="left" w:pos="480"/>
        </w:tabs>
        <w:ind w:left="424" w:leftChars="202"/>
        <w:rPr>
          <w:rFonts w:hint="eastAsia" w:ascii="宋体" w:hAnsi="宋体"/>
          <w:sz w:val="24"/>
        </w:rPr>
      </w:pPr>
      <w:r>
        <w:rPr>
          <w:rFonts w:hint="eastAsia" w:ascii="宋体" w:hAnsi="宋体"/>
          <w:sz w:val="24"/>
        </w:rPr>
        <w:t>单位名称：</w:t>
      </w:r>
    </w:p>
    <w:p w14:paraId="5F1ED99F">
      <w:pPr>
        <w:tabs>
          <w:tab w:val="left" w:pos="480"/>
        </w:tabs>
        <w:ind w:left="424" w:leftChars="202"/>
        <w:rPr>
          <w:rFonts w:hint="eastAsia" w:ascii="宋体" w:hAnsi="宋体"/>
        </w:rPr>
      </w:pPr>
      <w:r>
        <w:rPr>
          <w:rFonts w:hint="eastAsia" w:ascii="宋体" w:hAnsi="宋体"/>
          <w:sz w:val="24"/>
        </w:rPr>
        <w:t>地    址：</w:t>
      </w:r>
    </w:p>
    <w:p w14:paraId="1D3D1D85">
      <w:pPr>
        <w:tabs>
          <w:tab w:val="left" w:pos="480"/>
        </w:tabs>
        <w:ind w:left="424" w:leftChars="202"/>
        <w:rPr>
          <w:rFonts w:hint="eastAsia" w:ascii="宋体" w:hAnsi="宋体"/>
          <w:sz w:val="24"/>
        </w:rPr>
      </w:pPr>
      <w:r>
        <w:rPr>
          <w:rFonts w:hint="eastAsia" w:ascii="宋体" w:hAnsi="宋体"/>
          <w:sz w:val="24"/>
        </w:rPr>
        <w:t>法定代表人：（签字）</w:t>
      </w:r>
    </w:p>
    <w:p w14:paraId="27C36699">
      <w:pPr>
        <w:tabs>
          <w:tab w:val="left" w:pos="480"/>
        </w:tabs>
        <w:ind w:left="424" w:leftChars="202"/>
        <w:rPr>
          <w:rFonts w:hint="eastAsia" w:ascii="宋体" w:hAnsi="宋体"/>
          <w:sz w:val="24"/>
        </w:rPr>
      </w:pPr>
      <w:r>
        <w:rPr>
          <w:rFonts w:hint="eastAsia" w:ascii="宋体" w:hAnsi="宋体"/>
          <w:sz w:val="24"/>
        </w:rPr>
        <w:t>代理人：（签字）</w:t>
      </w:r>
    </w:p>
    <w:p w14:paraId="140A4D8B">
      <w:pPr>
        <w:tabs>
          <w:tab w:val="left" w:pos="480"/>
        </w:tabs>
        <w:ind w:left="424" w:leftChars="202"/>
        <w:rPr>
          <w:rFonts w:hint="eastAsia" w:ascii="宋体" w:hAnsi="宋体"/>
          <w:sz w:val="24"/>
        </w:rPr>
      </w:pPr>
      <w:r>
        <w:rPr>
          <w:rFonts w:hint="eastAsia" w:ascii="宋体" w:hAnsi="宋体"/>
          <w:sz w:val="24"/>
        </w:rPr>
        <w:t>联系电话：</w:t>
      </w:r>
    </w:p>
    <w:p w14:paraId="1B2A3C4B">
      <w:pPr>
        <w:tabs>
          <w:tab w:val="left" w:pos="480"/>
        </w:tabs>
        <w:ind w:left="424" w:leftChars="202"/>
        <w:rPr>
          <w:rFonts w:hint="eastAsia" w:ascii="宋体" w:hAnsi="宋体"/>
          <w:b/>
          <w:sz w:val="24"/>
        </w:rPr>
      </w:pPr>
      <w:r>
        <w:rPr>
          <w:rFonts w:hint="eastAsia" w:ascii="宋体" w:hAnsi="宋体"/>
          <w:sz w:val="24"/>
        </w:rPr>
        <w:t>签订日期：202</w:t>
      </w:r>
      <w:r>
        <w:rPr>
          <w:rFonts w:hint="eastAsia" w:ascii="宋体" w:hAnsi="宋体"/>
          <w:sz w:val="24"/>
          <w:lang w:val="en-US" w:eastAsia="zh-CN"/>
        </w:rPr>
        <w:t>5</w:t>
      </w:r>
      <w:r>
        <w:rPr>
          <w:rFonts w:hint="eastAsia" w:ascii="宋体" w:hAnsi="宋体"/>
          <w:sz w:val="24"/>
        </w:rPr>
        <w:t>年   月     日</w:t>
      </w:r>
    </w:p>
    <w:p w14:paraId="284BA52D">
      <w:pPr>
        <w:ind w:left="424" w:leftChars="202"/>
        <w:rPr>
          <w:rFonts w:hint="eastAsia" w:ascii="宋体" w:hAnsi="宋体"/>
        </w:rPr>
      </w:pPr>
    </w:p>
    <w:p w14:paraId="506EBC7B">
      <w:pPr>
        <w:ind w:left="424" w:leftChars="202"/>
        <w:rPr>
          <w:rFonts w:hint="eastAsia" w:ascii="宋体" w:hAnsi="宋体"/>
        </w:rPr>
      </w:pPr>
    </w:p>
    <w:p w14:paraId="6D892AD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14060"/>
    <w:rsid w:val="1CB02BD0"/>
    <w:rsid w:val="1FF341EF"/>
    <w:rsid w:val="36F0515C"/>
    <w:rsid w:val="409126D3"/>
    <w:rsid w:val="7AB64650"/>
    <w:rsid w:val="7CF247AE"/>
    <w:rsid w:val="7D1A4A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 w:type="paragraph" w:styleId="5">
    <w:name w:val="Body Text Indent"/>
    <w:basedOn w:val="1"/>
    <w:next w:val="1"/>
    <w:qFormat/>
    <w:uiPriority w:val="0"/>
    <w:pPr>
      <w:spacing w:line="640" w:lineRule="exact"/>
      <w:ind w:firstLine="585"/>
    </w:pPr>
    <w:rPr>
      <w:rFonts w:ascii="楷体_GB2312" w:eastAsia="楷体_GB2312"/>
      <w:sz w:val="32"/>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3"/>
    <w:unhideWhenUsed/>
    <w:qFormat/>
    <w:uiPriority w:val="99"/>
    <w:pPr>
      <w:ind w:firstLine="420" w:firstLineChars="200"/>
    </w:pPr>
  </w:style>
  <w:style w:type="paragraph" w:customStyle="1" w:styleId="10">
    <w:name w:val="样式 10 磅31114"/>
    <w:next w:val="1"/>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2502</Words>
  <Characters>2523</Characters>
  <Lines>0</Lines>
  <Paragraphs>0</Paragraphs>
  <TotalTime>10</TotalTime>
  <ScaleCrop>false</ScaleCrop>
  <LinksUpToDate>false</LinksUpToDate>
  <CharactersWithSpaces>2871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Queen €</cp:lastModifiedBy>
  <dcterms:modified xsi:type="dcterms:W3CDTF">2025-04-20T14:23:19Z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eyJoZGlkIjoiZjA3YTM4ZTlhYTY2YTNlNzE2MGFhODM5M2M3YzkzNzkiLCJ1c2VySWQiOiI0NzQ4MzU5MjEifQ==</vt:lpwstr>
  </property>
  <property fmtid="{D5CDD505-2E9C-101B-9397-08002B2CF9AE}" pid="4" name="ICV">
    <vt:lpwstr>26E790365A29441E8A9180A4BA2A8609_12</vt:lpwstr>
  </property>
</Properties>
</file>