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版本号：ZKZC-251901520250421001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物业等运行费（职工食堂运行费）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ZKZC-2519015</w:t>
      </w:r>
      <w:r>
        <w:br/>
      </w:r>
      <w:r>
        <w:br/>
      </w:r>
      <w:r>
        <w:br/>
      </w:r>
    </w:p>
    <w:p>
      <w:pPr>
        <w:pStyle w:val="null3"/>
        <w:jc w:val="center"/>
        <w:outlineLvl w:val="2"/>
      </w:pPr>
      <w:r>
        <w:rPr>
          <w:rFonts w:ascii="仿宋_GB2312" w:hAnsi="仿宋_GB2312" w:cs="仿宋_GB2312" w:eastAsia="仿宋_GB2312"/>
          <w:sz w:val="28"/>
          <w:b/>
        </w:rPr>
        <w:t>西安市城市照明管护中心</w:t>
      </w:r>
    </w:p>
    <w:p>
      <w:pPr>
        <w:pStyle w:val="null3"/>
        <w:jc w:val="center"/>
        <w:outlineLvl w:val="2"/>
      </w:pPr>
      <w:r>
        <w:rPr>
          <w:rFonts w:ascii="仿宋_GB2312" w:hAnsi="仿宋_GB2312" w:cs="仿宋_GB2312" w:eastAsia="仿宋_GB2312"/>
          <w:sz w:val="28"/>
          <w:b/>
        </w:rPr>
        <w:t>中科经纬工程技术有限公司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中科经纬工程技术有限公司</w:t>
      </w:r>
      <w:r>
        <w:rPr>
          <w:rFonts w:ascii="仿宋_GB2312" w:hAnsi="仿宋_GB2312" w:cs="仿宋_GB2312" w:eastAsia="仿宋_GB2312"/>
        </w:rPr>
        <w:t>（以下简称“代理机构”）受</w:t>
      </w:r>
      <w:r>
        <w:rPr>
          <w:rFonts w:ascii="仿宋_GB2312" w:hAnsi="仿宋_GB2312" w:cs="仿宋_GB2312" w:eastAsia="仿宋_GB2312"/>
        </w:rPr>
        <w:t>西安市城市照明管护中心</w:t>
      </w:r>
      <w:r>
        <w:rPr>
          <w:rFonts w:ascii="仿宋_GB2312" w:hAnsi="仿宋_GB2312" w:cs="仿宋_GB2312" w:eastAsia="仿宋_GB2312"/>
        </w:rPr>
        <w:t>委托，拟对</w:t>
      </w:r>
      <w:r>
        <w:rPr>
          <w:rFonts w:ascii="仿宋_GB2312" w:hAnsi="仿宋_GB2312" w:cs="仿宋_GB2312" w:eastAsia="仿宋_GB2312"/>
        </w:rPr>
        <w:t>物业等运行费（职工食堂运行费）</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ZKZC-2519015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物业等运行费（职工食堂运行费）</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市城市照明管护中心2025年职工食堂食材供应及相关属材供应，要求保证食材来源可靠，质量达标，所搭配三餐膳食均衡科学营养，并承担食堂的日常灶具用品维新和天燃气购买等服务。采购预算：970000.00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采购包1（物业等运行经费（职工食堂运行费）项目）：属于专门面向中小企业采购。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2、财务状况报告：提供2022年或2023年度经审计的财务报告（包括“ 四表一注” 即资产负债表》《利润表》《现金流量表》《所有者权益变动表》及其附注或基本存款账户开户银行出具的资信证明及基本存款账户开户许可证（基本账户信息）；成立时间至提交磋商响应文件截止时间不足一年的可提供成立后任意时段的资产负债表）。</w:t>
      </w:r>
    </w:p>
    <w:p>
      <w:pPr>
        <w:pStyle w:val="null3"/>
      </w:pPr>
      <w:r>
        <w:rPr>
          <w:rFonts w:ascii="仿宋_GB2312" w:hAnsi="仿宋_GB2312" w:cs="仿宋_GB2312" w:eastAsia="仿宋_GB2312"/>
        </w:rPr>
        <w:t>3、信用查询：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4、具备履行合同所必须的设备和专业技术能力：提供具备履行合同所必须的设备和专业技术能力的声明</w:t>
      </w:r>
    </w:p>
    <w:p>
      <w:pPr>
        <w:pStyle w:val="null3"/>
      </w:pPr>
      <w:r>
        <w:rPr>
          <w:rFonts w:ascii="仿宋_GB2312" w:hAnsi="仿宋_GB2312" w:cs="仿宋_GB2312" w:eastAsia="仿宋_GB2312"/>
        </w:rPr>
        <w:t>5、参加政府采购活动前三年内，在经营活动中没有重大违法记录：提供参加政府采购活动前三年内，在经营活动中没有重大违法记录的声明</w:t>
      </w:r>
    </w:p>
    <w:p>
      <w:pPr>
        <w:pStyle w:val="null3"/>
      </w:pPr>
      <w:r>
        <w:rPr>
          <w:rFonts w:ascii="仿宋_GB2312" w:hAnsi="仿宋_GB2312" w:cs="仿宋_GB2312" w:eastAsia="仿宋_GB2312"/>
        </w:rPr>
        <w:t>6、法定代表人授权书：法定代表人授权委托书、被授权人身份证（法定代表人参加磋商时,只需提供法定代表人身份证）</w:t>
      </w:r>
    </w:p>
    <w:p>
      <w:pPr>
        <w:pStyle w:val="null3"/>
      </w:pPr>
      <w:r>
        <w:rPr>
          <w:rFonts w:ascii="仿宋_GB2312" w:hAnsi="仿宋_GB2312" w:cs="仿宋_GB2312" w:eastAsia="仿宋_GB2312"/>
        </w:rPr>
        <w:t>7、供应商资质：供应商为生产厂家的须具有《食品生产许可证》及《食品经营许可证》；供应商为代理商的须提供《食品经营许可证》。</w:t>
      </w:r>
    </w:p>
    <w:p>
      <w:pPr>
        <w:pStyle w:val="null3"/>
      </w:pPr>
      <w:r>
        <w:rPr>
          <w:rFonts w:ascii="仿宋_GB2312" w:hAnsi="仿宋_GB2312" w:cs="仿宋_GB2312" w:eastAsia="仿宋_GB2312"/>
        </w:rPr>
        <w:t>8、联合体：本项目不接受联合体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西安市城市照明管护中心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文景路南段13号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西安市城市照明管护中心经办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15829024696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中科经纬工程技术有限公司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西安市浐灞生态区欧亚一路世园大观3栋5层502室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陈世勤、宁莎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029-85261162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照国家计委颁布《招标代理服务收费管理暂行办法》（计价格[2002]1980号）和国家发展改革委员会办公厅颁发的《关于招标代理服务收费有关问题的通知》（发改办价格[2003]857号）文件规定下浮10%执行。 2、招标代理服务费由成交供应商支付，在领取《成交通知书》前，由成交供应商一次性支付给中科经纬工程技术有限公司。 3、招标代理服务费缴纳账户 户名：中科经纬工程技术有限公司陕西分公司 开户银行：陕西秦农农村商业银行股份有限公司朱雀门支行 银行账号：2701014401201000015319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西安市城市照明管护中心</w:t>
      </w:r>
      <w:r>
        <w:rPr>
          <w:rFonts w:ascii="仿宋_GB2312" w:hAnsi="仿宋_GB2312" w:cs="仿宋_GB2312" w:eastAsia="仿宋_GB2312"/>
        </w:rPr>
        <w:t>和</w:t>
      </w:r>
      <w:r>
        <w:rPr>
          <w:rFonts w:ascii="仿宋_GB2312" w:hAnsi="仿宋_GB2312" w:cs="仿宋_GB2312" w:eastAsia="仿宋_GB2312"/>
        </w:rPr>
        <w:t>中科经纬工程技术有限公司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西安市城市照明管护中心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中科经纬工程技术有限公司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西安市城市照明管护中心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中科经纬工程技术有限公司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联系人：陈世勤、宁莎</w:t>
      </w:r>
    </w:p>
    <w:p>
      <w:pPr>
        <w:pStyle w:val="null3"/>
      </w:pPr>
      <w:r>
        <w:rPr>
          <w:rFonts w:ascii="仿宋_GB2312" w:hAnsi="仿宋_GB2312" w:cs="仿宋_GB2312" w:eastAsia="仿宋_GB2312"/>
        </w:rPr>
        <w:t>联系电话：029-85261162</w:t>
      </w:r>
    </w:p>
    <w:p>
      <w:pPr>
        <w:pStyle w:val="null3"/>
      </w:pPr>
      <w:r>
        <w:rPr>
          <w:rFonts w:ascii="仿宋_GB2312" w:hAnsi="仿宋_GB2312" w:cs="仿宋_GB2312" w:eastAsia="仿宋_GB2312"/>
        </w:rPr>
        <w:t>地址：西安市浐灞生态区欧亚一路世园大观3栋5层502室</w:t>
      </w:r>
    </w:p>
    <w:p>
      <w:pPr>
        <w:pStyle w:val="null3"/>
      </w:pPr>
      <w:r>
        <w:rPr>
          <w:rFonts w:ascii="仿宋_GB2312" w:hAnsi="仿宋_GB2312" w:cs="仿宋_GB2312" w:eastAsia="仿宋_GB2312"/>
        </w:rPr>
        <w:t>邮编：71000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市城市照明管护中心2025年职工食堂食材供应及相关属材供应，要求保证食材来源可靠，质量达标，所搭配三餐膳食均衡科学营养，并承担食堂的日常灶具用品维新和天燃气购买等服务。采购预算：970000.00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970,000.00</w:t>
      </w:r>
    </w:p>
    <w:p>
      <w:pPr>
        <w:pStyle w:val="null3"/>
      </w:pPr>
      <w:r>
        <w:rPr>
          <w:rFonts w:ascii="仿宋_GB2312" w:hAnsi="仿宋_GB2312" w:cs="仿宋_GB2312" w:eastAsia="仿宋_GB2312"/>
        </w:rPr>
        <w:t>采购包最高限价（元）: 970,000.00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职工食堂运行费用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970,000.00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标的名称：职工食堂运行费用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服务要求</w:t>
            </w:r>
          </w:p>
        </w:tc>
        <w:tc>
          <w:tcPr>
            <w:tcW w:type="dxa" w:w="2076"/>
          </w:tcPr>
          <w:p>
            <w:pPr>
              <w:pStyle w:val="null3"/>
            </w:pPr>
            <w:r>
              <w:rPr>
                <w:rFonts w:ascii="仿宋_GB2312" w:hAnsi="仿宋_GB2312" w:cs="仿宋_GB2312" w:eastAsia="仿宋_GB2312"/>
                <w:b/>
              </w:rPr>
              <w:t>一、西安市城市照明管护中心职工食堂基本情况</w:t>
            </w:r>
          </w:p>
          <w:p>
            <w:pPr>
              <w:pStyle w:val="null3"/>
              <w:ind w:firstLine="480"/>
            </w:pPr>
            <w:r>
              <w:rPr>
                <w:rFonts w:ascii="仿宋_GB2312" w:hAnsi="仿宋_GB2312" w:cs="仿宋_GB2312" w:eastAsia="仿宋_GB2312"/>
              </w:rPr>
              <w:t>职工食堂位于文景路</w:t>
            </w:r>
            <w:r>
              <w:rPr>
                <w:rFonts w:ascii="仿宋_GB2312" w:hAnsi="仿宋_GB2312" w:cs="仿宋_GB2312" w:eastAsia="仿宋_GB2312"/>
              </w:rPr>
              <w:t>13</w:t>
            </w:r>
            <w:r>
              <w:rPr>
                <w:rFonts w:ascii="仿宋_GB2312" w:hAnsi="仿宋_GB2312" w:cs="仿宋_GB2312" w:eastAsia="仿宋_GB2312"/>
              </w:rPr>
              <w:t>号西安市城市照明管护中心院内，面向全体干部职工开放，设有就餐位</w:t>
            </w:r>
            <w:r>
              <w:rPr>
                <w:rFonts w:ascii="仿宋_GB2312" w:hAnsi="仿宋_GB2312" w:cs="仿宋_GB2312" w:eastAsia="仿宋_GB2312"/>
              </w:rPr>
              <w:t>84</w:t>
            </w:r>
            <w:r>
              <w:rPr>
                <w:rFonts w:ascii="仿宋_GB2312" w:hAnsi="仿宋_GB2312" w:cs="仿宋_GB2312" w:eastAsia="仿宋_GB2312"/>
              </w:rPr>
              <w:t>个，配备有厨师</w:t>
            </w:r>
            <w:r>
              <w:rPr>
                <w:rFonts w:ascii="仿宋_GB2312" w:hAnsi="仿宋_GB2312" w:cs="仿宋_GB2312" w:eastAsia="仿宋_GB2312"/>
              </w:rPr>
              <w:t>2</w:t>
            </w:r>
            <w:r>
              <w:rPr>
                <w:rFonts w:ascii="仿宋_GB2312" w:hAnsi="仿宋_GB2312" w:cs="仿宋_GB2312" w:eastAsia="仿宋_GB2312"/>
              </w:rPr>
              <w:t>名，帮厨</w:t>
            </w:r>
            <w:r>
              <w:rPr>
                <w:rFonts w:ascii="仿宋_GB2312" w:hAnsi="仿宋_GB2312" w:cs="仿宋_GB2312" w:eastAsia="仿宋_GB2312"/>
              </w:rPr>
              <w:t>2</w:t>
            </w:r>
            <w:r>
              <w:rPr>
                <w:rFonts w:ascii="仿宋_GB2312" w:hAnsi="仿宋_GB2312" w:cs="仿宋_GB2312" w:eastAsia="仿宋_GB2312"/>
              </w:rPr>
              <w:t>名</w:t>
            </w:r>
            <w:r>
              <w:rPr>
                <w:rFonts w:ascii="仿宋_GB2312" w:hAnsi="仿宋_GB2312" w:cs="仿宋_GB2312" w:eastAsia="仿宋_GB2312"/>
              </w:rPr>
              <w:t>，本中心有固定职工</w:t>
            </w:r>
            <w:r>
              <w:rPr>
                <w:rFonts w:ascii="仿宋_GB2312" w:hAnsi="仿宋_GB2312" w:cs="仿宋_GB2312" w:eastAsia="仿宋_GB2312"/>
              </w:rPr>
              <w:t>160</w:t>
            </w:r>
            <w:r>
              <w:rPr>
                <w:rFonts w:ascii="仿宋_GB2312" w:hAnsi="仿宋_GB2312" w:cs="仿宋_GB2312" w:eastAsia="仿宋_GB2312"/>
              </w:rPr>
              <w:t>余人，本次采购需满足所有职工</w:t>
            </w:r>
            <w:r>
              <w:rPr>
                <w:rFonts w:ascii="仿宋_GB2312" w:hAnsi="仿宋_GB2312" w:cs="仿宋_GB2312" w:eastAsia="仿宋_GB2312"/>
              </w:rPr>
              <w:t>（除国家法定休假日）工作日的一日三餐需求，每人每天不低于</w:t>
            </w:r>
            <w:r>
              <w:rPr>
                <w:rFonts w:ascii="仿宋_GB2312" w:hAnsi="仿宋_GB2312" w:cs="仿宋_GB2312" w:eastAsia="仿宋_GB2312"/>
              </w:rPr>
              <w:t>23</w:t>
            </w:r>
            <w:r>
              <w:rPr>
                <w:rFonts w:ascii="仿宋_GB2312" w:hAnsi="仿宋_GB2312" w:cs="仿宋_GB2312" w:eastAsia="仿宋_GB2312"/>
              </w:rPr>
              <w:t>元标准的营养膳食搭配。</w:t>
            </w:r>
          </w:p>
          <w:p>
            <w:pPr>
              <w:pStyle w:val="null3"/>
            </w:pPr>
            <w:r>
              <w:rPr>
                <w:rFonts w:ascii="仿宋_GB2312" w:hAnsi="仿宋_GB2312" w:cs="仿宋_GB2312" w:eastAsia="仿宋_GB2312"/>
                <w:b/>
              </w:rPr>
              <w:t>二、招标对象</w:t>
            </w:r>
          </w:p>
          <w:p>
            <w:pPr>
              <w:pStyle w:val="null3"/>
              <w:ind w:firstLine="480"/>
            </w:pPr>
            <w:r>
              <w:rPr>
                <w:rFonts w:ascii="仿宋_GB2312" w:hAnsi="仿宋_GB2312" w:cs="仿宋_GB2312" w:eastAsia="仿宋_GB2312"/>
              </w:rPr>
              <w:t>有职工食堂管理资质或者同等类别资质的企业皆可报名。</w:t>
            </w:r>
          </w:p>
          <w:p>
            <w:pPr>
              <w:pStyle w:val="null3"/>
              <w:jc w:val="both"/>
            </w:pPr>
            <w:r>
              <w:rPr>
                <w:rFonts w:ascii="仿宋_GB2312" w:hAnsi="仿宋_GB2312" w:cs="仿宋_GB2312" w:eastAsia="仿宋_GB2312"/>
                <w:b/>
              </w:rPr>
              <w:t>三、招标资金</w:t>
            </w:r>
          </w:p>
          <w:p>
            <w:pPr>
              <w:pStyle w:val="null3"/>
              <w:ind w:firstLine="480"/>
            </w:pPr>
            <w:r>
              <w:rPr>
                <w:rFonts w:ascii="仿宋_GB2312" w:hAnsi="仿宋_GB2312" w:cs="仿宋_GB2312" w:eastAsia="仿宋_GB2312"/>
              </w:rPr>
              <w:t>招标资金共计</w:t>
            </w:r>
            <w:r>
              <w:rPr>
                <w:rFonts w:ascii="仿宋_GB2312" w:hAnsi="仿宋_GB2312" w:cs="仿宋_GB2312" w:eastAsia="仿宋_GB2312"/>
              </w:rPr>
              <w:t>97</w:t>
            </w:r>
            <w:r>
              <w:rPr>
                <w:rFonts w:ascii="仿宋_GB2312" w:hAnsi="仿宋_GB2312" w:cs="仿宋_GB2312" w:eastAsia="仿宋_GB2312"/>
              </w:rPr>
              <w:t>万元，主要用于</w:t>
            </w:r>
            <w:r>
              <w:rPr>
                <w:rFonts w:ascii="仿宋_GB2312" w:hAnsi="仿宋_GB2312" w:cs="仿宋_GB2312" w:eastAsia="仿宋_GB2312"/>
              </w:rPr>
              <w:t>202</w:t>
            </w:r>
            <w:r>
              <w:rPr>
                <w:rFonts w:ascii="仿宋_GB2312" w:hAnsi="仿宋_GB2312" w:cs="仿宋_GB2312" w:eastAsia="仿宋_GB2312"/>
              </w:rPr>
              <w:t>5</w:t>
            </w:r>
            <w:r>
              <w:rPr>
                <w:rFonts w:ascii="仿宋_GB2312" w:hAnsi="仿宋_GB2312" w:cs="仿宋_GB2312" w:eastAsia="仿宋_GB2312"/>
              </w:rPr>
              <w:t>年度（</w:t>
            </w:r>
            <w:r>
              <w:rPr>
                <w:rFonts w:ascii="仿宋_GB2312" w:hAnsi="仿宋_GB2312" w:cs="仿宋_GB2312" w:eastAsia="仿宋_GB2312"/>
              </w:rPr>
              <w:t>12</w:t>
            </w:r>
            <w:r>
              <w:rPr>
                <w:rFonts w:ascii="仿宋_GB2312" w:hAnsi="仿宋_GB2312" w:cs="仿宋_GB2312" w:eastAsia="仿宋_GB2312"/>
              </w:rPr>
              <w:t>个月）食堂</w:t>
            </w:r>
            <w:r>
              <w:rPr>
                <w:rFonts w:ascii="仿宋_GB2312" w:hAnsi="仿宋_GB2312" w:cs="仿宋_GB2312" w:eastAsia="仿宋_GB2312"/>
              </w:rPr>
              <w:t>所需全部</w:t>
            </w:r>
            <w:r>
              <w:rPr>
                <w:rFonts w:ascii="仿宋_GB2312" w:hAnsi="仿宋_GB2312" w:cs="仿宋_GB2312" w:eastAsia="仿宋_GB2312"/>
              </w:rPr>
              <w:t>食材</w:t>
            </w:r>
            <w:r>
              <w:rPr>
                <w:rFonts w:ascii="仿宋_GB2312" w:hAnsi="仿宋_GB2312" w:cs="仿宋_GB2312" w:eastAsia="仿宋_GB2312"/>
              </w:rPr>
              <w:t>和调味品的</w:t>
            </w:r>
            <w:r>
              <w:rPr>
                <w:rFonts w:ascii="仿宋_GB2312" w:hAnsi="仿宋_GB2312" w:cs="仿宋_GB2312" w:eastAsia="仿宋_GB2312"/>
              </w:rPr>
              <w:t>采购</w:t>
            </w:r>
            <w:r>
              <w:rPr>
                <w:rFonts w:ascii="仿宋_GB2312" w:hAnsi="仿宋_GB2312" w:cs="仿宋_GB2312" w:eastAsia="仿宋_GB2312"/>
              </w:rPr>
              <w:t>、</w:t>
            </w:r>
            <w:r>
              <w:rPr>
                <w:rFonts w:ascii="仿宋_GB2312" w:hAnsi="仿宋_GB2312" w:cs="仿宋_GB2312" w:eastAsia="仿宋_GB2312"/>
              </w:rPr>
              <w:t>天然气</w:t>
            </w:r>
            <w:r>
              <w:rPr>
                <w:rFonts w:ascii="仿宋_GB2312" w:hAnsi="仿宋_GB2312" w:cs="仿宋_GB2312" w:eastAsia="仿宋_GB2312"/>
              </w:rPr>
              <w:t>购买、</w:t>
            </w:r>
            <w:r>
              <w:rPr>
                <w:rFonts w:ascii="仿宋_GB2312" w:hAnsi="仿宋_GB2312" w:cs="仿宋_GB2312" w:eastAsia="仿宋_GB2312"/>
              </w:rPr>
              <w:t>日常易损耗厨具</w:t>
            </w:r>
            <w:r>
              <w:rPr>
                <w:rFonts w:ascii="仿宋_GB2312" w:hAnsi="仿宋_GB2312" w:cs="仿宋_GB2312" w:eastAsia="仿宋_GB2312"/>
              </w:rPr>
              <w:t>维新、厨房日产用品的清洁维修，油烟机清洗</w:t>
            </w:r>
            <w:r>
              <w:rPr>
                <w:rFonts w:ascii="仿宋_GB2312" w:hAnsi="仿宋_GB2312" w:cs="仿宋_GB2312" w:eastAsia="仿宋_GB2312"/>
              </w:rPr>
              <w:t>等类别。</w:t>
            </w:r>
          </w:p>
          <w:p>
            <w:pPr>
              <w:pStyle w:val="null3"/>
              <w:jc w:val="both"/>
            </w:pPr>
            <w:r>
              <w:rPr>
                <w:rFonts w:ascii="仿宋_GB2312" w:hAnsi="仿宋_GB2312" w:cs="仿宋_GB2312" w:eastAsia="仿宋_GB2312"/>
                <w:b/>
              </w:rPr>
              <w:t>四、具体要求</w:t>
            </w:r>
          </w:p>
          <w:p>
            <w:pPr>
              <w:pStyle w:val="null3"/>
              <w:ind w:firstLine="480"/>
            </w:pPr>
            <w:r>
              <w:rPr>
                <w:rFonts w:ascii="仿宋_GB2312" w:hAnsi="仿宋_GB2312" w:cs="仿宋_GB2312" w:eastAsia="仿宋_GB2312"/>
              </w:rPr>
              <w:t>1</w:t>
            </w:r>
            <w:r>
              <w:rPr>
                <w:rFonts w:ascii="仿宋_GB2312" w:hAnsi="仿宋_GB2312" w:cs="仿宋_GB2312" w:eastAsia="仿宋_GB2312"/>
              </w:rPr>
              <w:t>、食材来源必须是有农副业产品配送资质的企业承担，保证食品安全。</w:t>
            </w:r>
          </w:p>
          <w:p>
            <w:pPr>
              <w:pStyle w:val="null3"/>
              <w:ind w:firstLine="480"/>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食谱制定应科学配比：</w:t>
            </w:r>
            <w:r>
              <w:rPr>
                <w:rFonts w:ascii="仿宋_GB2312" w:hAnsi="仿宋_GB2312" w:cs="仿宋_GB2312" w:eastAsia="仿宋_GB2312"/>
              </w:rPr>
              <w:t>每人每天就餐标准不低于</w:t>
            </w:r>
            <w:r>
              <w:rPr>
                <w:rFonts w:ascii="仿宋_GB2312" w:hAnsi="仿宋_GB2312" w:cs="仿宋_GB2312" w:eastAsia="仿宋_GB2312"/>
              </w:rPr>
              <w:t>23</w:t>
            </w:r>
            <w:r>
              <w:rPr>
                <w:rFonts w:ascii="仿宋_GB2312" w:hAnsi="仿宋_GB2312" w:cs="仿宋_GB2312" w:eastAsia="仿宋_GB2312"/>
              </w:rPr>
              <w:t>元，</w:t>
            </w:r>
            <w:r>
              <w:rPr>
                <w:rFonts w:ascii="仿宋_GB2312" w:hAnsi="仿宋_GB2312" w:cs="仿宋_GB2312" w:eastAsia="仿宋_GB2312"/>
              </w:rPr>
              <w:t>基本要求：</w:t>
            </w:r>
            <w:r>
              <w:rPr>
                <w:rFonts w:ascii="仿宋_GB2312" w:hAnsi="仿宋_GB2312" w:cs="仿宋_GB2312" w:eastAsia="仿宋_GB2312"/>
              </w:rPr>
              <w:t>早餐两小菜，一个蛋类，馒头、稀饭和豆浆为基本搭配，定期搭配杂粮类保证营养均衡</w:t>
            </w:r>
            <w:r>
              <w:rPr>
                <w:rFonts w:ascii="仿宋_GB2312" w:hAnsi="仿宋_GB2312" w:cs="仿宋_GB2312" w:eastAsia="仿宋_GB2312"/>
              </w:rPr>
              <w:t>；</w:t>
            </w:r>
            <w:r>
              <w:rPr>
                <w:rFonts w:ascii="仿宋_GB2312" w:hAnsi="仿宋_GB2312" w:cs="仿宋_GB2312" w:eastAsia="仿宋_GB2312"/>
              </w:rPr>
              <w:t>中餐米饭和面食相间搭配</w:t>
            </w:r>
            <w:r>
              <w:rPr>
                <w:rFonts w:ascii="仿宋_GB2312" w:hAnsi="仿宋_GB2312" w:cs="仿宋_GB2312" w:eastAsia="仿宋_GB2312"/>
              </w:rPr>
              <w:t>比例为</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同时配备</w:t>
            </w:r>
            <w:r>
              <w:rPr>
                <w:rFonts w:ascii="仿宋_GB2312" w:hAnsi="仿宋_GB2312" w:cs="仿宋_GB2312" w:eastAsia="仿宋_GB2312"/>
              </w:rPr>
              <w:t>2</w:t>
            </w:r>
            <w:r>
              <w:rPr>
                <w:rFonts w:ascii="仿宋_GB2312" w:hAnsi="仿宋_GB2312" w:cs="仿宋_GB2312" w:eastAsia="仿宋_GB2312"/>
              </w:rPr>
              <w:t>种</w:t>
            </w:r>
            <w:r>
              <w:rPr>
                <w:rFonts w:ascii="仿宋_GB2312" w:hAnsi="仿宋_GB2312" w:cs="仿宋_GB2312" w:eastAsia="仿宋_GB2312"/>
              </w:rPr>
              <w:t>水果，米饭时</w:t>
            </w:r>
            <w:r>
              <w:rPr>
                <w:rFonts w:ascii="仿宋_GB2312" w:hAnsi="仿宋_GB2312" w:cs="仿宋_GB2312" w:eastAsia="仿宋_GB2312"/>
              </w:rPr>
              <w:t>四</w:t>
            </w:r>
            <w:r>
              <w:rPr>
                <w:rFonts w:ascii="仿宋_GB2312" w:hAnsi="仿宋_GB2312" w:cs="仿宋_GB2312" w:eastAsia="仿宋_GB2312"/>
              </w:rPr>
              <w:t>菜一汤，两荤</w:t>
            </w:r>
            <w:r>
              <w:rPr>
                <w:rFonts w:ascii="仿宋_GB2312" w:hAnsi="仿宋_GB2312" w:cs="仿宋_GB2312" w:eastAsia="仿宋_GB2312"/>
              </w:rPr>
              <w:t>两</w:t>
            </w:r>
            <w:r>
              <w:rPr>
                <w:rFonts w:ascii="仿宋_GB2312" w:hAnsi="仿宋_GB2312" w:cs="仿宋_GB2312" w:eastAsia="仿宋_GB2312"/>
              </w:rPr>
              <w:t>素，要求色香味具全</w:t>
            </w:r>
            <w:r>
              <w:rPr>
                <w:rFonts w:ascii="仿宋_GB2312" w:hAnsi="仿宋_GB2312" w:cs="仿宋_GB2312" w:eastAsia="仿宋_GB2312"/>
              </w:rPr>
              <w:t>；</w:t>
            </w:r>
            <w:r>
              <w:rPr>
                <w:rFonts w:ascii="仿宋_GB2312" w:hAnsi="仿宋_GB2312" w:cs="仿宋_GB2312" w:eastAsia="仿宋_GB2312"/>
              </w:rPr>
              <w:t>晚餐两种菜品加稀饭、</w:t>
            </w:r>
            <w:r>
              <w:rPr>
                <w:rFonts w:ascii="仿宋_GB2312" w:hAnsi="仿宋_GB2312" w:cs="仿宋_GB2312" w:eastAsia="仿宋_GB2312"/>
              </w:rPr>
              <w:t>葱花饼类</w:t>
            </w:r>
            <w:r>
              <w:rPr>
                <w:rFonts w:ascii="仿宋_GB2312" w:hAnsi="仿宋_GB2312" w:cs="仿宋_GB2312" w:eastAsia="仿宋_GB2312"/>
              </w:rPr>
              <w:t>，可根据季节变化调整</w:t>
            </w:r>
            <w:r>
              <w:rPr>
                <w:rFonts w:ascii="仿宋_GB2312" w:hAnsi="仿宋_GB2312" w:cs="仿宋_GB2312" w:eastAsia="仿宋_GB2312"/>
              </w:rPr>
              <w:t>增加时令蔬菜</w:t>
            </w:r>
            <w:r>
              <w:rPr>
                <w:rFonts w:ascii="仿宋_GB2312" w:hAnsi="仿宋_GB2312" w:cs="仿宋_GB2312" w:eastAsia="仿宋_GB2312"/>
              </w:rPr>
              <w:t>。</w:t>
            </w:r>
          </w:p>
          <w:p>
            <w:pPr>
              <w:pStyle w:val="null3"/>
              <w:ind w:firstLine="480"/>
            </w:pPr>
            <w:r>
              <w:rPr>
                <w:rFonts w:ascii="仿宋_GB2312" w:hAnsi="仿宋_GB2312" w:cs="仿宋_GB2312" w:eastAsia="仿宋_GB2312"/>
              </w:rPr>
              <w:t>3</w:t>
            </w:r>
            <w:r>
              <w:rPr>
                <w:rFonts w:ascii="仿宋_GB2312" w:hAnsi="仿宋_GB2312" w:cs="仿宋_GB2312" w:eastAsia="仿宋_GB2312"/>
              </w:rPr>
              <w:t>、职工食堂必须配备有专人管理，并负责用电</w:t>
            </w:r>
            <w:r>
              <w:rPr>
                <w:rFonts w:ascii="仿宋_GB2312" w:hAnsi="仿宋_GB2312" w:cs="仿宋_GB2312" w:eastAsia="仿宋_GB2312"/>
              </w:rPr>
              <w:t>、</w:t>
            </w:r>
            <w:r>
              <w:rPr>
                <w:rFonts w:ascii="仿宋_GB2312" w:hAnsi="仿宋_GB2312" w:cs="仿宋_GB2312" w:eastAsia="仿宋_GB2312"/>
              </w:rPr>
              <w:t>用气</w:t>
            </w:r>
            <w:r>
              <w:rPr>
                <w:rFonts w:ascii="仿宋_GB2312" w:hAnsi="仿宋_GB2312" w:cs="仿宋_GB2312" w:eastAsia="仿宋_GB2312"/>
              </w:rPr>
              <w:t>、用水的安全</w:t>
            </w:r>
            <w:r>
              <w:rPr>
                <w:rFonts w:ascii="仿宋_GB2312" w:hAnsi="仿宋_GB2312" w:cs="仿宋_GB2312" w:eastAsia="仿宋_GB2312"/>
              </w:rPr>
              <w:t>。</w:t>
            </w:r>
          </w:p>
          <w:p>
            <w:pPr>
              <w:pStyle w:val="null3"/>
              <w:ind w:firstLine="480"/>
            </w:pPr>
            <w:r>
              <w:rPr>
                <w:rFonts w:ascii="仿宋_GB2312" w:hAnsi="仿宋_GB2312" w:cs="仿宋_GB2312" w:eastAsia="仿宋_GB2312"/>
              </w:rPr>
              <w:t>4</w:t>
            </w:r>
            <w:r>
              <w:rPr>
                <w:rFonts w:ascii="仿宋_GB2312" w:hAnsi="仿宋_GB2312" w:cs="仿宋_GB2312" w:eastAsia="仿宋_GB2312"/>
              </w:rPr>
              <w:t>、日常需保证食堂卫生清洁，油烟机专业清洗每年不低于两次。</w:t>
            </w:r>
          </w:p>
          <w:p>
            <w:pPr>
              <w:pStyle w:val="null3"/>
              <w:jc w:val="both"/>
            </w:pPr>
            <w:r>
              <w:rPr>
                <w:rFonts w:ascii="仿宋_GB2312" w:hAnsi="仿宋_GB2312" w:cs="仿宋_GB2312" w:eastAsia="仿宋_GB2312"/>
                <w:b/>
              </w:rPr>
              <w:t>五、</w:t>
            </w:r>
            <w:r>
              <w:rPr>
                <w:rFonts w:ascii="仿宋_GB2312" w:hAnsi="仿宋_GB2312" w:cs="仿宋_GB2312" w:eastAsia="仿宋_GB2312"/>
                <w:b/>
              </w:rPr>
              <w:t>配送要求</w:t>
            </w:r>
          </w:p>
          <w:p>
            <w:pPr>
              <w:pStyle w:val="null3"/>
              <w:jc w:val="both"/>
            </w:pPr>
            <w:r>
              <w:rPr>
                <w:rFonts w:ascii="仿宋_GB2312" w:hAnsi="仿宋_GB2312" w:cs="仿宋_GB2312" w:eastAsia="仿宋_GB2312"/>
              </w:rPr>
              <w:t>1</w:t>
            </w:r>
            <w:r>
              <w:rPr>
                <w:rFonts w:ascii="仿宋_GB2312" w:hAnsi="仿宋_GB2312" w:cs="仿宋_GB2312" w:eastAsia="仿宋_GB2312"/>
              </w:rPr>
              <w:t>、服务期：</w:t>
            </w:r>
            <w:r>
              <w:rPr>
                <w:rFonts w:ascii="仿宋_GB2312" w:hAnsi="仿宋_GB2312" w:cs="仿宋_GB2312" w:eastAsia="仿宋_GB2312"/>
              </w:rPr>
              <w:t>1</w:t>
            </w:r>
            <w:r>
              <w:rPr>
                <w:rFonts w:ascii="仿宋_GB2312" w:hAnsi="仿宋_GB2312" w:cs="仿宋_GB2312" w:eastAsia="仿宋_GB2312"/>
              </w:rPr>
              <w:t>年</w:t>
            </w:r>
          </w:p>
          <w:p>
            <w:pPr>
              <w:pStyle w:val="null3"/>
              <w:jc w:val="both"/>
            </w:pPr>
            <w:r>
              <w:rPr>
                <w:rFonts w:ascii="仿宋_GB2312" w:hAnsi="仿宋_GB2312" w:cs="仿宋_GB2312" w:eastAsia="仿宋_GB2312"/>
              </w:rPr>
              <w:t>2</w:t>
            </w:r>
            <w:r>
              <w:rPr>
                <w:rFonts w:ascii="仿宋_GB2312" w:hAnsi="仿宋_GB2312" w:cs="仿宋_GB2312" w:eastAsia="仿宋_GB2312"/>
              </w:rPr>
              <w:t>、配送时间：采购人每天下午</w:t>
            </w:r>
            <w:r>
              <w:rPr>
                <w:rFonts w:ascii="仿宋_GB2312" w:hAnsi="仿宋_GB2312" w:cs="仿宋_GB2312" w:eastAsia="仿宋_GB2312"/>
              </w:rPr>
              <w:t>20:00</w:t>
            </w:r>
            <w:r>
              <w:rPr>
                <w:rFonts w:ascii="仿宋_GB2312" w:hAnsi="仿宋_GB2312" w:cs="仿宋_GB2312" w:eastAsia="仿宋_GB2312"/>
              </w:rPr>
              <w:t>前向供应商下达第二天的订单，供货商每天上午</w:t>
            </w: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00</w:t>
            </w:r>
            <w:r>
              <w:rPr>
                <w:rFonts w:ascii="仿宋_GB2312" w:hAnsi="仿宋_GB2312" w:cs="仿宋_GB2312" w:eastAsia="仿宋_GB2312"/>
              </w:rPr>
              <w:t>前将当天所需食材配送到位。</w:t>
            </w:r>
          </w:p>
          <w:p>
            <w:pPr>
              <w:pStyle w:val="null3"/>
              <w:jc w:val="both"/>
            </w:pPr>
            <w:r>
              <w:rPr>
                <w:rFonts w:ascii="仿宋_GB2312" w:hAnsi="仿宋_GB2312" w:cs="仿宋_GB2312" w:eastAsia="仿宋_GB2312"/>
              </w:rPr>
              <w:t>3</w:t>
            </w:r>
            <w:r>
              <w:rPr>
                <w:rFonts w:ascii="仿宋_GB2312" w:hAnsi="仿宋_GB2312" w:cs="仿宋_GB2312" w:eastAsia="仿宋_GB2312"/>
              </w:rPr>
              <w:t>、配送地点：</w:t>
            </w:r>
            <w:r>
              <w:rPr>
                <w:rFonts w:ascii="仿宋_GB2312" w:hAnsi="仿宋_GB2312" w:cs="仿宋_GB2312" w:eastAsia="仿宋_GB2312"/>
              </w:rPr>
              <w:t>西安市城市照明管护中心职工餐厅</w:t>
            </w:r>
            <w:r>
              <w:rPr>
                <w:rFonts w:ascii="仿宋_GB2312" w:hAnsi="仿宋_GB2312" w:cs="仿宋_GB2312" w:eastAsia="仿宋_GB2312"/>
              </w:rPr>
              <w:t>。</w:t>
            </w:r>
          </w:p>
          <w:p>
            <w:pPr>
              <w:pStyle w:val="null3"/>
              <w:jc w:val="both"/>
            </w:pPr>
            <w:r>
              <w:rPr>
                <w:rFonts w:ascii="仿宋_GB2312" w:hAnsi="仿宋_GB2312" w:cs="仿宋_GB2312" w:eastAsia="仿宋_GB2312"/>
              </w:rPr>
              <w:t>4</w:t>
            </w:r>
            <w:r>
              <w:rPr>
                <w:rFonts w:ascii="仿宋_GB2312" w:hAnsi="仿宋_GB2312" w:cs="仿宋_GB2312" w:eastAsia="仿宋_GB2312"/>
              </w:rPr>
              <w:t>、食品报价：供应商所报报价应含运费、运送人员工资、税费等费用。</w:t>
            </w:r>
          </w:p>
          <w:p>
            <w:pPr>
              <w:pStyle w:val="null3"/>
              <w:jc w:val="both"/>
            </w:pPr>
            <w:r>
              <w:rPr>
                <w:rFonts w:ascii="仿宋_GB2312" w:hAnsi="仿宋_GB2312" w:cs="仿宋_GB2312" w:eastAsia="仿宋_GB2312"/>
                <w:b/>
              </w:rPr>
              <w:t>六、</w:t>
            </w:r>
            <w:r>
              <w:rPr>
                <w:rFonts w:ascii="仿宋_GB2312" w:hAnsi="仿宋_GB2312" w:cs="仿宋_GB2312" w:eastAsia="仿宋_GB2312"/>
                <w:b/>
              </w:rPr>
              <w:t>采购基本要求</w:t>
            </w:r>
          </w:p>
          <w:p>
            <w:pPr>
              <w:pStyle w:val="null3"/>
              <w:ind w:firstLine="480"/>
              <w:jc w:val="left"/>
            </w:pPr>
            <w:r>
              <w:rPr>
                <w:rFonts w:ascii="仿宋_GB2312" w:hAnsi="仿宋_GB2312" w:cs="仿宋_GB2312" w:eastAsia="仿宋_GB2312"/>
              </w:rPr>
              <w:t>食材必须符合新的《食品安全法》第三章</w:t>
            </w:r>
            <w:r>
              <w:rPr>
                <w:rFonts w:ascii="仿宋_GB2312" w:hAnsi="仿宋_GB2312" w:cs="仿宋_GB2312" w:eastAsia="仿宋_GB2312"/>
              </w:rPr>
              <w:t>“食品安全标准”中的规定。食品中污染物限量应符合</w:t>
            </w:r>
            <w:r>
              <w:rPr>
                <w:rFonts w:ascii="仿宋_GB2312" w:hAnsi="仿宋_GB2312" w:cs="仿宋_GB2312" w:eastAsia="仿宋_GB2312"/>
              </w:rPr>
              <w:t>GB2762-2017</w:t>
            </w:r>
            <w:r>
              <w:rPr>
                <w:rFonts w:ascii="仿宋_GB2312" w:hAnsi="仿宋_GB2312" w:cs="仿宋_GB2312" w:eastAsia="仿宋_GB2312"/>
              </w:rPr>
              <w:t>标准规定。不得采购转基因食品或利用转基因食品原料加工的成品。食品原料新鲜、清洁卫生，同时对每批次食品原料进行检测，具有质量检验报告（近期）。具体要求为：</w:t>
            </w:r>
          </w:p>
          <w:p>
            <w:pPr>
              <w:pStyle w:val="null3"/>
              <w:ind w:firstLine="480"/>
              <w:jc w:val="left"/>
            </w:pPr>
            <w:r>
              <w:rPr>
                <w:rFonts w:ascii="仿宋_GB2312" w:hAnsi="仿宋_GB2312" w:cs="仿宋_GB2312" w:eastAsia="仿宋_GB2312"/>
              </w:rPr>
              <w:t>1</w:t>
            </w:r>
            <w:r>
              <w:rPr>
                <w:rFonts w:ascii="仿宋_GB2312" w:hAnsi="仿宋_GB2312" w:cs="仿宋_GB2312" w:eastAsia="仿宋_GB2312"/>
              </w:rPr>
              <w:t>、所有食材均须符合《中华人民共和国食品安全法》，须具备所配送产品的检测报告或食品检验合格证；主要食材应选取优质品牌。</w:t>
            </w:r>
          </w:p>
          <w:p>
            <w:pPr>
              <w:pStyle w:val="null3"/>
              <w:ind w:firstLine="480"/>
              <w:jc w:val="left"/>
            </w:pPr>
            <w:r>
              <w:rPr>
                <w:rFonts w:ascii="仿宋_GB2312" w:hAnsi="仿宋_GB2312" w:cs="仿宋_GB2312" w:eastAsia="仿宋_GB2312"/>
              </w:rPr>
              <w:t>2</w:t>
            </w:r>
            <w:r>
              <w:rPr>
                <w:rFonts w:ascii="仿宋_GB2312" w:hAnsi="仿宋_GB2312" w:cs="仿宋_GB2312" w:eastAsia="仿宋_GB2312"/>
              </w:rPr>
              <w:t>、大米必须符合</w:t>
            </w:r>
            <w:r>
              <w:rPr>
                <w:rFonts w:ascii="仿宋_GB2312" w:hAnsi="仿宋_GB2312" w:cs="仿宋_GB2312" w:eastAsia="仿宋_GB2312"/>
              </w:rPr>
              <w:t>GB1354</w:t>
            </w:r>
            <w:r>
              <w:rPr>
                <w:rFonts w:ascii="仿宋_GB2312" w:hAnsi="仿宋_GB2312" w:cs="仿宋_GB2312" w:eastAsia="仿宋_GB2312"/>
              </w:rPr>
              <w:t>标准，提供保证质量的相关证明材料（包含但不限于“</w:t>
            </w:r>
            <w:r>
              <w:rPr>
                <w:rFonts w:ascii="仿宋_GB2312" w:hAnsi="仿宋_GB2312" w:cs="仿宋_GB2312" w:eastAsia="仿宋_GB2312"/>
              </w:rPr>
              <w:t>SC</w:t>
            </w:r>
            <w:r>
              <w:rPr>
                <w:rFonts w:ascii="仿宋_GB2312" w:hAnsi="仿宋_GB2312" w:cs="仿宋_GB2312" w:eastAsia="仿宋_GB2312"/>
              </w:rPr>
              <w:t>”食品生产许可证、质量检测报告等），并列明可提供配送产品的品牌清单、每个品牌详细的参数或指标。</w:t>
            </w:r>
          </w:p>
          <w:p>
            <w:pPr>
              <w:pStyle w:val="null3"/>
              <w:ind w:firstLine="480"/>
              <w:jc w:val="left"/>
            </w:pPr>
            <w:r>
              <w:rPr>
                <w:rFonts w:ascii="仿宋_GB2312" w:hAnsi="仿宋_GB2312" w:cs="仿宋_GB2312" w:eastAsia="仿宋_GB2312"/>
              </w:rPr>
              <w:t>3</w:t>
            </w:r>
            <w:r>
              <w:rPr>
                <w:rFonts w:ascii="仿宋_GB2312" w:hAnsi="仿宋_GB2312" w:cs="仿宋_GB2312" w:eastAsia="仿宋_GB2312"/>
              </w:rPr>
              <w:t>、食用油必须符合</w:t>
            </w:r>
            <w:r>
              <w:rPr>
                <w:rFonts w:ascii="仿宋_GB2312" w:hAnsi="仿宋_GB2312" w:cs="仿宋_GB2312" w:eastAsia="仿宋_GB2312"/>
              </w:rPr>
              <w:t>GB1536</w:t>
            </w:r>
            <w:r>
              <w:rPr>
                <w:rFonts w:ascii="仿宋_GB2312" w:hAnsi="仿宋_GB2312" w:cs="仿宋_GB2312" w:eastAsia="仿宋_GB2312"/>
              </w:rPr>
              <w:t>标准，提供保证质量的相关证明材料（包含但不限于“</w:t>
            </w:r>
            <w:r>
              <w:rPr>
                <w:rFonts w:ascii="仿宋_GB2312" w:hAnsi="仿宋_GB2312" w:cs="仿宋_GB2312" w:eastAsia="仿宋_GB2312"/>
              </w:rPr>
              <w:t>SC</w:t>
            </w:r>
            <w:r>
              <w:rPr>
                <w:rFonts w:ascii="仿宋_GB2312" w:hAnsi="仿宋_GB2312" w:cs="仿宋_GB2312" w:eastAsia="仿宋_GB2312"/>
              </w:rPr>
              <w:t>”食品生产许可证、质量检测报告等），并列明可提供配送产品的品牌清单、每个品牌详细的参数或指标。</w:t>
            </w:r>
          </w:p>
          <w:p>
            <w:pPr>
              <w:pStyle w:val="null3"/>
              <w:ind w:firstLine="480"/>
              <w:jc w:val="left"/>
            </w:pPr>
            <w:r>
              <w:rPr>
                <w:rFonts w:ascii="仿宋_GB2312" w:hAnsi="仿宋_GB2312" w:cs="仿宋_GB2312" w:eastAsia="仿宋_GB2312"/>
              </w:rPr>
              <w:t>4</w:t>
            </w:r>
            <w:r>
              <w:rPr>
                <w:rFonts w:ascii="仿宋_GB2312" w:hAnsi="仿宋_GB2312" w:cs="仿宋_GB2312" w:eastAsia="仿宋_GB2312"/>
              </w:rPr>
              <w:t>、面粉必须符合</w:t>
            </w:r>
            <w:r>
              <w:rPr>
                <w:rFonts w:ascii="仿宋_GB2312" w:hAnsi="仿宋_GB2312" w:cs="仿宋_GB2312" w:eastAsia="仿宋_GB2312"/>
              </w:rPr>
              <w:t>GB1355</w:t>
            </w:r>
            <w:r>
              <w:rPr>
                <w:rFonts w:ascii="仿宋_GB2312" w:hAnsi="仿宋_GB2312" w:cs="仿宋_GB2312" w:eastAsia="仿宋_GB2312"/>
              </w:rPr>
              <w:t>标准，提供保证质量的相关证明材料（包含但不限于“</w:t>
            </w:r>
            <w:r>
              <w:rPr>
                <w:rFonts w:ascii="仿宋_GB2312" w:hAnsi="仿宋_GB2312" w:cs="仿宋_GB2312" w:eastAsia="仿宋_GB2312"/>
              </w:rPr>
              <w:t>SC</w:t>
            </w:r>
            <w:r>
              <w:rPr>
                <w:rFonts w:ascii="仿宋_GB2312" w:hAnsi="仿宋_GB2312" w:cs="仿宋_GB2312" w:eastAsia="仿宋_GB2312"/>
              </w:rPr>
              <w:t>”食品生产许可证、质量检测报告等），并列明可提供配送产品的品牌清单、每个品牌详细的参数或指标。</w:t>
            </w:r>
          </w:p>
          <w:p>
            <w:pPr>
              <w:pStyle w:val="null3"/>
              <w:ind w:firstLine="480"/>
              <w:jc w:val="left"/>
            </w:pPr>
            <w:r>
              <w:rPr>
                <w:rFonts w:ascii="仿宋_GB2312" w:hAnsi="仿宋_GB2312" w:cs="仿宋_GB2312" w:eastAsia="仿宋_GB2312"/>
              </w:rPr>
              <w:t>5</w:t>
            </w:r>
            <w:r>
              <w:rPr>
                <w:rFonts w:ascii="仿宋_GB2312" w:hAnsi="仿宋_GB2312" w:cs="仿宋_GB2312" w:eastAsia="仿宋_GB2312"/>
              </w:rPr>
              <w:t>、蔬菜、禽蛋必须保证新鲜，果蔬必须符合</w:t>
            </w:r>
            <w:r>
              <w:rPr>
                <w:rFonts w:ascii="仿宋_GB2312" w:hAnsi="仿宋_GB2312" w:cs="仿宋_GB2312" w:eastAsia="仿宋_GB2312"/>
              </w:rPr>
              <w:t>GB 2763</w:t>
            </w:r>
            <w:r>
              <w:rPr>
                <w:rFonts w:ascii="仿宋_GB2312" w:hAnsi="仿宋_GB2312" w:cs="仿宋_GB2312" w:eastAsia="仿宋_GB2312"/>
              </w:rPr>
              <w:t>食品中农药最大残留限量标准并具有农药残留检验记录；</w:t>
            </w:r>
          </w:p>
          <w:p>
            <w:pPr>
              <w:pStyle w:val="null3"/>
              <w:ind w:firstLine="480"/>
              <w:jc w:val="left"/>
            </w:pPr>
            <w:r>
              <w:rPr>
                <w:rFonts w:ascii="仿宋_GB2312" w:hAnsi="仿宋_GB2312" w:cs="仿宋_GB2312" w:eastAsia="仿宋_GB2312"/>
              </w:rPr>
              <w:t>6</w:t>
            </w:r>
            <w:r>
              <w:rPr>
                <w:rFonts w:ascii="仿宋_GB2312" w:hAnsi="仿宋_GB2312" w:cs="仿宋_GB2312" w:eastAsia="仿宋_GB2312"/>
              </w:rPr>
              <w:t>、肉类、冷冻产品必须保证质量，应具有相关动物检验检疫合格证明，供应商应设有固定的经营场所，并具有符合卫生防疫监督部门要求的肉类食材屠宰厂的经营授权书，含水（冰）率符合标准；</w:t>
            </w:r>
          </w:p>
          <w:p>
            <w:pPr>
              <w:pStyle w:val="null3"/>
              <w:ind w:firstLine="480"/>
              <w:jc w:val="left"/>
            </w:pPr>
            <w:r>
              <w:rPr>
                <w:rFonts w:ascii="仿宋_GB2312" w:hAnsi="仿宋_GB2312" w:cs="仿宋_GB2312" w:eastAsia="仿宋_GB2312"/>
              </w:rPr>
              <w:t>7</w:t>
            </w:r>
            <w:r>
              <w:rPr>
                <w:rFonts w:ascii="仿宋_GB2312" w:hAnsi="仿宋_GB2312" w:cs="仿宋_GB2312" w:eastAsia="仿宋_GB2312"/>
              </w:rPr>
              <w:t>、杂粮及调味品要品质好，无霉变、无杂质。定型包装调味品必须保证质量并提供相关证明材料（包含但不限于“</w:t>
            </w:r>
            <w:r>
              <w:rPr>
                <w:rFonts w:ascii="仿宋_GB2312" w:hAnsi="仿宋_GB2312" w:cs="仿宋_GB2312" w:eastAsia="仿宋_GB2312"/>
              </w:rPr>
              <w:t>SC</w:t>
            </w:r>
            <w:r>
              <w:rPr>
                <w:rFonts w:ascii="仿宋_GB2312" w:hAnsi="仿宋_GB2312" w:cs="仿宋_GB2312" w:eastAsia="仿宋_GB2312"/>
              </w:rPr>
              <w:t>”食品生产许可证、质量检测报告等）；</w:t>
            </w:r>
          </w:p>
          <w:p>
            <w:pPr>
              <w:pStyle w:val="null3"/>
              <w:ind w:firstLine="480"/>
              <w:jc w:val="left"/>
            </w:pPr>
            <w:r>
              <w:rPr>
                <w:rFonts w:ascii="仿宋_GB2312" w:hAnsi="仿宋_GB2312" w:cs="仿宋_GB2312" w:eastAsia="仿宋_GB2312"/>
              </w:rPr>
              <w:t>8</w:t>
            </w:r>
            <w:r>
              <w:rPr>
                <w:rFonts w:ascii="仿宋_GB2312" w:hAnsi="仿宋_GB2312" w:cs="仿宋_GB2312" w:eastAsia="仿宋_GB2312"/>
              </w:rPr>
              <w:t>、豆制品、乳制品及其他半成品送货当日时间不得超过保质期的</w:t>
            </w:r>
            <w:r>
              <w:rPr>
                <w:rFonts w:ascii="仿宋_GB2312" w:hAnsi="仿宋_GB2312" w:cs="仿宋_GB2312" w:eastAsia="仿宋_GB2312"/>
              </w:rPr>
              <w:t>1/3</w:t>
            </w:r>
            <w:r>
              <w:rPr>
                <w:rFonts w:ascii="仿宋_GB2312" w:hAnsi="仿宋_GB2312" w:cs="仿宋_GB2312" w:eastAsia="仿宋_GB2312"/>
              </w:rPr>
              <w:t>时长，提供保证质量的相关证明材料（包含但不限于“</w:t>
            </w:r>
            <w:r>
              <w:rPr>
                <w:rFonts w:ascii="仿宋_GB2312" w:hAnsi="仿宋_GB2312" w:cs="仿宋_GB2312" w:eastAsia="仿宋_GB2312"/>
              </w:rPr>
              <w:t>SC</w:t>
            </w:r>
            <w:r>
              <w:rPr>
                <w:rFonts w:ascii="仿宋_GB2312" w:hAnsi="仿宋_GB2312" w:cs="仿宋_GB2312" w:eastAsia="仿宋_GB2312"/>
              </w:rPr>
              <w:t>”食品生产许可证、质量检测报告等）。</w:t>
            </w:r>
          </w:p>
          <w:p>
            <w:pPr>
              <w:pStyle w:val="null3"/>
              <w:jc w:val="left"/>
            </w:pPr>
            <w:r>
              <w:rPr>
                <w:rFonts w:ascii="仿宋_GB2312" w:hAnsi="仿宋_GB2312" w:cs="仿宋_GB2312" w:eastAsia="仿宋_GB2312"/>
                <w:b/>
              </w:rPr>
              <w:t>七</w:t>
            </w:r>
            <w:r>
              <w:rPr>
                <w:rFonts w:ascii="仿宋_GB2312" w:hAnsi="仿宋_GB2312" w:cs="仿宋_GB2312" w:eastAsia="仿宋_GB2312"/>
                <w:b/>
              </w:rPr>
              <w:t>、质量要求及包装标准</w:t>
            </w:r>
          </w:p>
          <w:tbl>
            <w:tblPr>
              <w:tblInd w:type="dxa" w:w="120"/>
              <w:tblBorders>
                <w:top w:val="none" w:color="000000" w:sz="4"/>
                <w:left w:val="none" w:color="000000" w:sz="4"/>
                <w:bottom w:val="none" w:color="000000" w:sz="4"/>
                <w:right w:val="none" w:color="000000" w:sz="4"/>
                <w:insideH w:val="none"/>
                <w:insideV w:val="none"/>
              </w:tblBorders>
            </w:tblPr>
            <w:tblGrid>
              <w:gridCol w:w="251"/>
              <w:gridCol w:w="1307"/>
              <w:gridCol w:w="302"/>
            </w:tblGrid>
            <w:tr>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项目</w:t>
                  </w:r>
                </w:p>
              </w:tc>
              <w:tc>
                <w:tcPr>
                  <w:tcW w:type="dxa" w:w="13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19"/>
                      <w:b/>
                    </w:rPr>
                    <w:t>质量要求及包装标准</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备注</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肉禽类</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肉身必须盖有卫生检疫章，须出具加盖国家或地方政府监督所检疫章的动物检疫证明。肉品须表皮洁净、膘厚适中、色泽鲜亮、纹理清晰、肉质细腻、无异味、去骨、无毛、按压无水迹。</w:t>
                  </w:r>
                </w:p>
              </w:tc>
              <w:tc>
                <w:tcPr>
                  <w:tcW w:type="dxa" w:w="3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所有商品必须满足国家和地方相关规定</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蔬菜类</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当季各类新鲜蔬菜以及大棚种植蔬菜，蔬菜类必须保证无黄叶、枯死叶、无虫、无杂质，须</w:t>
                  </w:r>
                  <w:r>
                    <w:rPr>
                      <w:rFonts w:ascii="仿宋_GB2312" w:hAnsi="仿宋_GB2312" w:cs="仿宋_GB2312" w:eastAsia="仿宋_GB2312"/>
                      <w:sz w:val="19"/>
                    </w:rPr>
                    <w:t>48</w:t>
                  </w:r>
                  <w:r>
                    <w:rPr>
                      <w:rFonts w:ascii="仿宋_GB2312" w:hAnsi="仿宋_GB2312" w:cs="仿宋_GB2312" w:eastAsia="仿宋_GB2312"/>
                      <w:sz w:val="19"/>
                    </w:rPr>
                    <w:t>小时内采摘供应，原菜须保证菜面干净、无明显泥土、码放整齐、无破损、大小基本统一、不得过熟或欠熟；净菜须保证菜面完全干净、无泥土、按统一标准加工、码放整齐、无须二次处理可以直接进行熟加工</w:t>
                  </w:r>
                </w:p>
              </w:tc>
              <w:tc>
                <w:tcPr>
                  <w:tcW w:type="dxa" w:w="302"/>
                  <w:vMerge/>
                  <w:tcBorders>
                    <w:top w:val="none" w:color="000000" w:sz="4"/>
                    <w:left w:val="none" w:color="000000" w:sz="4"/>
                    <w:bottom w:val="single" w:color="000000" w:sz="4"/>
                    <w:right w:val="single" w:color="000000" w:sz="4"/>
                  </w:tcBorders>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蛋类</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鲜新、大小均匀、无破损、色泽光滑，须出具加盖地方政府监督所检疫章的动物检疫证明</w:t>
                  </w:r>
                </w:p>
              </w:tc>
              <w:tc>
                <w:tcPr>
                  <w:tcW w:type="dxa" w:w="302"/>
                  <w:vMerge/>
                  <w:tcBorders>
                    <w:top w:val="none" w:color="000000" w:sz="4"/>
                    <w:left w:val="none" w:color="000000" w:sz="4"/>
                    <w:bottom w:val="single" w:color="000000" w:sz="4"/>
                    <w:right w:val="single" w:color="000000" w:sz="4"/>
                  </w:tcBorders>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豆制品</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豆腐、豆腐干、绿豆芽、黄豆芽、红豆等；须保证食材干净、不含非食品用化学物质、按统一标准加工、码放整齐、无须二次处理可以直接进行熟加工</w:t>
                  </w:r>
                </w:p>
              </w:tc>
              <w:tc>
                <w:tcPr>
                  <w:tcW w:type="dxa" w:w="302"/>
                  <w:vMerge/>
                  <w:tcBorders>
                    <w:top w:val="none" w:color="000000" w:sz="4"/>
                    <w:left w:val="none" w:color="000000" w:sz="4"/>
                    <w:bottom w:val="single" w:color="000000" w:sz="4"/>
                    <w:right w:val="single" w:color="000000" w:sz="4"/>
                  </w:tcBorders>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水果</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当即各类水果，无虫、无杂质，须</w:t>
                  </w:r>
                  <w:r>
                    <w:rPr>
                      <w:rFonts w:ascii="仿宋_GB2312" w:hAnsi="仿宋_GB2312" w:cs="仿宋_GB2312" w:eastAsia="仿宋_GB2312"/>
                      <w:sz w:val="19"/>
                    </w:rPr>
                    <w:t>48小时内采摘供应，原水果须保证果面干净、无明显泥土、码放整齐、无破损、大小基本统一、不得过熟或欠熟</w:t>
                  </w:r>
                </w:p>
              </w:tc>
              <w:tc>
                <w:tcPr>
                  <w:tcW w:type="dxa" w:w="302"/>
                  <w:vMerge/>
                  <w:tcBorders>
                    <w:top w:val="none" w:color="000000" w:sz="4"/>
                    <w:left w:val="none" w:color="000000" w:sz="4"/>
                    <w:bottom w:val="single" w:color="000000" w:sz="4"/>
                    <w:right w:val="single" w:color="000000" w:sz="4"/>
                  </w:tcBorders>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米线面条</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米线、鲜面条、干面条、饵丝；要求原材料不含非食品用化学物质、不掺假、不过期、不变质、不变味、无杂质、无毒害，符合国家食品行业的标准</w:t>
                  </w:r>
                </w:p>
              </w:tc>
              <w:tc>
                <w:tcPr>
                  <w:tcW w:type="dxa" w:w="302"/>
                  <w:vMerge/>
                  <w:tcBorders>
                    <w:top w:val="none" w:color="000000" w:sz="4"/>
                    <w:left w:val="none" w:color="000000" w:sz="4"/>
                    <w:bottom w:val="single" w:color="000000" w:sz="4"/>
                    <w:right w:val="single" w:color="000000" w:sz="4"/>
                  </w:tcBorders>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大米</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大米须达国家</w:t>
                  </w:r>
                  <w:r>
                    <w:rPr>
                      <w:rFonts w:ascii="仿宋_GB2312" w:hAnsi="仿宋_GB2312" w:cs="仿宋_GB2312" w:eastAsia="仿宋_GB2312"/>
                      <w:sz w:val="19"/>
                    </w:rPr>
                    <w:t>1354—86特二级标准，水分含量在12°以下，无掺杂、无沙石，碎米少，无黄粒米；</w:t>
                  </w:r>
                </w:p>
                <w:p>
                  <w:pPr>
                    <w:pStyle w:val="null3"/>
                    <w:ind w:firstLine="480"/>
                    <w:jc w:val="left"/>
                  </w:pPr>
                  <w:r>
                    <w:rPr>
                      <w:rFonts w:ascii="仿宋_GB2312" w:hAnsi="仿宋_GB2312" w:cs="仿宋_GB2312" w:eastAsia="仿宋_GB2312"/>
                      <w:sz w:val="19"/>
                    </w:rPr>
                    <w:t>大米包装袋上印有大米品名、等级、数量、出厂名、厂家地址及其电话。</w:t>
                  </w:r>
                </w:p>
              </w:tc>
              <w:tc>
                <w:tcPr>
                  <w:tcW w:type="dxa" w:w="302"/>
                  <w:vMerge/>
                  <w:tcBorders>
                    <w:top w:val="none" w:color="000000" w:sz="4"/>
                    <w:left w:val="none" w:color="000000" w:sz="4"/>
                    <w:bottom w:val="single" w:color="000000" w:sz="4"/>
                    <w:right w:val="single" w:color="000000" w:sz="4"/>
                  </w:tcBorders>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面粉（含面粉配料）</w:t>
                  </w:r>
                </w:p>
                <w:p>
                  <w:pPr>
                    <w:pStyle w:val="null3"/>
                    <w:ind w:firstLine="480"/>
                    <w:jc w:val="center"/>
                  </w:pP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高筋面粉达</w:t>
                  </w:r>
                  <w:r>
                    <w:rPr>
                      <w:rFonts w:ascii="仿宋_GB2312" w:hAnsi="仿宋_GB2312" w:cs="仿宋_GB2312" w:eastAsia="仿宋_GB2312"/>
                      <w:sz w:val="19"/>
                    </w:rPr>
                    <w:t>GB8607国家标准，质量等级一级；低筋面粉达Q/JHMF01标准，质量等级一级；</w:t>
                  </w:r>
                </w:p>
                <w:p>
                  <w:pPr>
                    <w:pStyle w:val="null3"/>
                    <w:ind w:firstLine="190"/>
                    <w:jc w:val="left"/>
                  </w:pPr>
                  <w:r>
                    <w:rPr>
                      <w:rFonts w:ascii="仿宋_GB2312" w:hAnsi="仿宋_GB2312" w:cs="仿宋_GB2312" w:eastAsia="仿宋_GB2312"/>
                      <w:sz w:val="19"/>
                    </w:rPr>
                    <w:t>色泽正常，干爽无异味；</w:t>
                  </w:r>
                </w:p>
                <w:p>
                  <w:pPr>
                    <w:pStyle w:val="null3"/>
                    <w:ind w:firstLine="190"/>
                    <w:jc w:val="left"/>
                  </w:pPr>
                  <w:r>
                    <w:rPr>
                      <w:rFonts w:ascii="仿宋_GB2312" w:hAnsi="仿宋_GB2312" w:cs="仿宋_GB2312" w:eastAsia="仿宋_GB2312"/>
                      <w:sz w:val="19"/>
                    </w:rPr>
                    <w:t>按进货量抽查</w:t>
                  </w:r>
                  <w:r>
                    <w:rPr>
                      <w:rFonts w:ascii="仿宋_GB2312" w:hAnsi="仿宋_GB2312" w:cs="仿宋_GB2312" w:eastAsia="仿宋_GB2312"/>
                      <w:sz w:val="19"/>
                    </w:rPr>
                    <w:t>20％，数量按抽查验收实数为准；</w:t>
                  </w:r>
                </w:p>
                <w:p>
                  <w:pPr>
                    <w:pStyle w:val="null3"/>
                    <w:ind w:firstLine="480"/>
                    <w:jc w:val="left"/>
                  </w:pPr>
                  <w:r>
                    <w:rPr>
                      <w:rFonts w:ascii="仿宋_GB2312" w:hAnsi="仿宋_GB2312" w:cs="仿宋_GB2312" w:eastAsia="仿宋_GB2312"/>
                      <w:sz w:val="19"/>
                    </w:rPr>
                    <w:t>包装袋上有注册商标及</w:t>
                  </w:r>
                  <w:r>
                    <w:rPr>
                      <w:rFonts w:ascii="仿宋_GB2312" w:hAnsi="仿宋_GB2312" w:cs="仿宋_GB2312" w:eastAsia="仿宋_GB2312"/>
                      <w:sz w:val="19"/>
                    </w:rPr>
                    <w:t>QS标注，有检验合格证、生产日期和保质期。</w:t>
                  </w:r>
                </w:p>
              </w:tc>
              <w:tc>
                <w:tcPr>
                  <w:tcW w:type="dxa" w:w="302"/>
                  <w:vMerge/>
                  <w:tcBorders>
                    <w:top w:val="none" w:color="000000" w:sz="4"/>
                    <w:left w:val="none" w:color="000000" w:sz="4"/>
                    <w:bottom w:val="single" w:color="000000" w:sz="4"/>
                    <w:right w:val="single" w:color="000000" w:sz="4"/>
                  </w:tcBorders>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大豆油</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按国家食用调和油质量标准</w:t>
                  </w:r>
                  <w:r>
                    <w:rPr>
                      <w:rFonts w:ascii="仿宋_GB2312" w:hAnsi="仿宋_GB2312" w:cs="仿宋_GB2312" w:eastAsia="仿宋_GB2312"/>
                      <w:sz w:val="19"/>
                    </w:rPr>
                    <w:t>GB1535，质量等级一级；</w:t>
                  </w:r>
                </w:p>
                <w:p>
                  <w:pPr>
                    <w:pStyle w:val="null3"/>
                    <w:ind w:firstLine="480"/>
                    <w:jc w:val="left"/>
                  </w:pPr>
                  <w:r>
                    <w:rPr>
                      <w:rFonts w:ascii="仿宋_GB2312" w:hAnsi="仿宋_GB2312" w:cs="仿宋_GB2312" w:eastAsia="仿宋_GB2312"/>
                      <w:sz w:val="19"/>
                    </w:rPr>
                    <w:t>有合格检疫报告，外观的色泽、透明度、气味滋味等无异常；定型包装。</w:t>
                  </w:r>
                </w:p>
              </w:tc>
              <w:tc>
                <w:tcPr>
                  <w:tcW w:type="dxa" w:w="302"/>
                  <w:vMerge/>
                  <w:tcBorders>
                    <w:top w:val="none" w:color="000000" w:sz="4"/>
                    <w:left w:val="none" w:color="000000" w:sz="4"/>
                    <w:bottom w:val="single" w:color="000000" w:sz="4"/>
                    <w:right w:val="single" w:color="000000" w:sz="4"/>
                  </w:tcBorders>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水产品</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草鱼、黑鱼、桂鱼、鲈鱼等</w:t>
                  </w:r>
                  <w:r>
                    <w:rPr>
                      <w:rFonts w:ascii="仿宋_GB2312" w:hAnsi="仿宋_GB2312" w:cs="仿宋_GB2312" w:eastAsia="仿宋_GB2312"/>
                      <w:sz w:val="19"/>
                    </w:rPr>
                    <w:t xml:space="preserve">  </w:t>
                  </w:r>
                  <w:r>
                    <w:rPr>
                      <w:rFonts w:ascii="仿宋_GB2312" w:hAnsi="仿宋_GB2312" w:cs="仿宋_GB2312" w:eastAsia="仿宋_GB2312"/>
                      <w:sz w:val="19"/>
                    </w:rPr>
                    <w:t>鱼类要求体表光滑无病灶，有鲜鱼鳞片完整，无鳞鱼无浑浊粘液，肉质干燥，紧密，呈白色或淡黄色眼球外突饱满透明，鳃丝清晰鲜红或暗红，保持活体状态固有本色，无异味，鱼类肌肉紧密有弹性，内脏清晰可辨无腐烂。</w:t>
                  </w:r>
                </w:p>
              </w:tc>
              <w:tc>
                <w:tcPr>
                  <w:tcW w:type="dxa" w:w="302"/>
                  <w:vMerge/>
                  <w:tcBorders>
                    <w:top w:val="none" w:color="000000" w:sz="4"/>
                    <w:left w:val="none" w:color="000000" w:sz="4"/>
                    <w:bottom w:val="single" w:color="000000" w:sz="4"/>
                    <w:right w:val="single" w:color="000000" w:sz="4"/>
                  </w:tcBorders>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冻品</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冻品外包装需完整，无破损，无不封口现象，有生产日期。冻品在解冻后，发现质量问题需退货。符合国家绿色批发市场标准，应具备满足交易需要的冷冻贮藏设施，</w:t>
                  </w:r>
                </w:p>
              </w:tc>
              <w:tc>
                <w:tcPr>
                  <w:tcW w:type="dxa" w:w="302"/>
                  <w:vMerge/>
                  <w:tcBorders>
                    <w:top w:val="none" w:color="000000" w:sz="4"/>
                    <w:left w:val="none" w:color="000000" w:sz="4"/>
                    <w:bottom w:val="single" w:color="000000" w:sz="4"/>
                    <w:right w:val="single" w:color="000000" w:sz="4"/>
                  </w:tcBorders>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调料</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外包装无污物、无泄漏，无胀袋或胖听或鼓盖现象，无变质发霉现象。</w:t>
                  </w:r>
                </w:p>
                <w:p>
                  <w:pPr>
                    <w:pStyle w:val="null3"/>
                    <w:ind w:firstLine="480"/>
                    <w:jc w:val="left"/>
                  </w:pPr>
                  <w:r>
                    <w:rPr>
                      <w:rFonts w:ascii="仿宋_GB2312" w:hAnsi="仿宋_GB2312" w:cs="仿宋_GB2312" w:eastAsia="仿宋_GB2312"/>
                      <w:sz w:val="19"/>
                    </w:rPr>
                    <w:t>色泽正常，具有该品种固有的香味，滋味无异味，油酱均匀的酱体或无结块的粉状固体，封口平整，无破包，夹包，漏包，无污染</w:t>
                  </w:r>
                </w:p>
              </w:tc>
              <w:tc>
                <w:tcPr>
                  <w:tcW w:type="dxa" w:w="302"/>
                  <w:vMerge/>
                  <w:tcBorders>
                    <w:top w:val="none" w:color="000000" w:sz="4"/>
                    <w:left w:val="none" w:color="000000" w:sz="4"/>
                    <w:bottom w:val="single" w:color="000000" w:sz="4"/>
                    <w:right w:val="single" w:color="000000" w:sz="4"/>
                  </w:tcBorders>
                </w:tc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副食及其他</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须保证食材干净、不含非食品用化学物质、按统一标准加工、码放整齐、无须二次处理可以直接进行熟加工。</w:t>
                  </w:r>
                </w:p>
              </w:tc>
              <w:tc>
                <w:tcPr>
                  <w:tcW w:type="dxa" w:w="302"/>
                  <w:vMerge/>
                  <w:tcBorders>
                    <w:top w:val="none" w:color="000000" w:sz="4"/>
                    <w:left w:val="none" w:color="000000" w:sz="4"/>
                    <w:bottom w:val="single" w:color="000000" w:sz="4"/>
                    <w:right w:val="single" w:color="000000" w:sz="4"/>
                  </w:tcBorders>
                </w:tcPr>
                <w:p/>
              </w:tc>
            </w:tr>
          </w:tbl>
          <w:p>
            <w:pPr>
              <w:pStyle w:val="null3"/>
              <w:jc w:val="both"/>
            </w:pPr>
            <w:r>
              <w:rPr>
                <w:rFonts w:ascii="仿宋_GB2312" w:hAnsi="仿宋_GB2312" w:cs="仿宋_GB2312" w:eastAsia="仿宋_GB2312"/>
                <w:sz w:val="21"/>
                <w:b/>
              </w:rPr>
              <w:t>注：如国家制定新的食品安全标准，即按新标准执行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服务要求：根据采购文件要求及合同约定执行； 服务标准：符合国家和省、市有关行业标准及采购人的有关规定。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西安市城市照明管护中心职工餐厅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 服务标准：符合国家和省、市有关行业标准及采购人的有关规定。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双方以每日经甲方收货人签字验收的配送单作为结算依据，乙方须凭结算汇总单开具等额增值税发票后送至甲方，每3个月进行结算一次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双方以每日经甲方收货人签字验收的配送单作为结算依据，乙方须凭结算汇总单开具等额增值税发票后送至甲方，每3个月进行结算一次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双方以每日经甲方收货人签字验收的配送单作为结算依据，乙方须凭结算汇总单开具等额增值税发票后送至甲方，每3个月进行结算一次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双方以每日经甲方收货人签字验收的配送单作为结算依据，乙方须凭结算汇总单开具等额增值税发票后送至甲方，每3个月进行结算一次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按《中华人民共和国政府采购法》、《中华人民共和国民法典》中的相关条款执行。 未按合同要求提供产品质量不能满足技术要求，采购人有权终止合同，并对供方违约行为进行追究。 未按合同或磋商文件要求的或者质量不能满足采购人要求的，采购单位有权终止合同，甚至对供应商违约行为进行追究。 供应商的磋商响应文件为签订正式书面合同书不可分割的部分，磋商响应应履行相应的责任。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用电子化投标与纸质投标并行的方式，供应商需要于磋商响应文件递交截止时间前在线提交电子响应文件，同时线下提交一正一副纸质版响应文件（提交地点：西安市浐灞生态区欧亚一路世园大观3栋5层502室中科经纬工程技术有限公司开标室）。 2、逾期送达的纸质版响应文件按无效磋商处理。 3、事业单位参与投标时，可不提供财务状况报告、社会保障资金和税收缴纳证明；依法免税或不需要缴纳社会保障资金的投标人，应提供相应证明文件，证明其依法免税或不需要缴纳社会保障资金；自然人（仅限中国公民）参与投标时，只须提供身份证复印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（1）提供合格有效的法人或者其他组织的营业执照等证明文件，自然人的身份证明；供应商是法人或其他组织的应提供营业执照等证明文件，供应商是自然人的应提供有效的自然人身份证明。 (2)提供具有履行合同所必需的设备和专业技术能力的承诺； (3)提供磋商截止日前6个月内已缴纳的至少一个月的纳税证明或完税证明，依法免税的单位应提供相关证明材料； (4)提供磋商截止日前6个月已缴存的至少一个月的社会保障资金缴存单据或社保机构开具的社会保险参保缴费情况证明,依法不需要缴纳社会保障资金的单位应提供相关证明材料； (5)参加政府采购活动前3年内, 在经营活动中没有重大违法记录的书面声明。</w:t>
            </w:r>
          </w:p>
        </w:tc>
        <w:tc>
          <w:tcPr>
            <w:tcW w:type="dxa" w:w="1661"/>
          </w:tcPr>
          <w:p>
            <w:pPr>
              <w:pStyle w:val="null3"/>
            </w:pPr>
            <w:r>
              <w:rPr>
                <w:rFonts w:ascii="仿宋_GB2312" w:hAnsi="仿宋_GB2312" w:cs="仿宋_GB2312" w:eastAsia="仿宋_GB2312"/>
              </w:rPr>
              <w:t>响应文件封面 资格部分.docx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提供2022年或2023年度经审计的财务报告（包括“ 四表一注” 即资产负债表》《利润表》《现金流量表》《所有者权益变动表》及其附注或基本存款账户开户银行出具的资信证明及基本存款账户开户许可证（基本账户信息）；成立时间至提交磋商响应文件截止时间不足一年的可提供成立后任意时段的资产负债表）。</w:t>
            </w:r>
          </w:p>
        </w:tc>
        <w:tc>
          <w:tcPr>
            <w:tcW w:type="dxa" w:w="1661"/>
          </w:tcPr>
          <w:p>
            <w:pPr>
              <w:pStyle w:val="null3"/>
            </w:pPr>
            <w:r>
              <w:rPr>
                <w:rFonts w:ascii="仿宋_GB2312" w:hAnsi="仿宋_GB2312" w:cs="仿宋_GB2312" w:eastAsia="仿宋_GB2312"/>
              </w:rPr>
              <w:t>响应文件封面 中小企业声明函 残疾人福利性单位声明函 资格部分.docx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1、单位负责人为同一人或者存在直接控股、管理关系的供应商，不得参加同一合同下的政府采购活动； 2、为本项目提供过整体设计、规范编制或者项目管理、监理、检测等服务的供应商，不得再参加本项目采购活动。</w:t>
            </w:r>
          </w:p>
        </w:tc>
        <w:tc>
          <w:tcPr>
            <w:tcW w:type="dxa" w:w="1661"/>
          </w:tcPr>
          <w:p>
            <w:pPr>
              <w:pStyle w:val="null3"/>
            </w:pPr>
            <w:r>
              <w:rPr>
                <w:rFonts w:ascii="仿宋_GB2312" w:hAnsi="仿宋_GB2312" w:cs="仿宋_GB2312" w:eastAsia="仿宋_GB2312"/>
              </w:rPr>
              <w:t>响应文件封面 资格部分.docx 响应函 陕西省政府采购供应商拒绝政府采购领域商业贿赂承诺书.docx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资格部分.docx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响应文件封面 资格部分.docx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提供2022年或2023年度经审计的财务报告（包括“ 四表一注” 即资产负债表》《利润表》《现金流量表》《所有者权益变动表》及其附注或基本存款账户开户银行出具的资信证明及基本存款账户开户许可证（基本账户信息）；成立时间至提交磋商响应文件截止时间不足一年的可提供成立后任意时段的资产负债表）。</w:t>
            </w:r>
          </w:p>
        </w:tc>
        <w:tc>
          <w:tcPr>
            <w:tcW w:type="dxa" w:w="1661"/>
          </w:tcPr>
          <w:p>
            <w:pPr>
              <w:pStyle w:val="null3"/>
            </w:pPr>
            <w:r>
              <w:rPr>
                <w:rFonts w:ascii="仿宋_GB2312" w:hAnsi="仿宋_GB2312" w:cs="仿宋_GB2312" w:eastAsia="仿宋_GB2312"/>
              </w:rPr>
              <w:t>响应文件封面 中小企业声明函 残疾人福利性单位声明函 资格部分.docx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响应文件封面 资格部分.docx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具备履行合同所必须的设备和专业技术能力</w:t>
            </w:r>
          </w:p>
        </w:tc>
        <w:tc>
          <w:tcPr>
            <w:tcW w:type="dxa" w:w="3322"/>
          </w:tcPr>
          <w:p>
            <w:pPr>
              <w:pStyle w:val="null3"/>
            </w:pPr>
            <w:r>
              <w:rPr>
                <w:rFonts w:ascii="仿宋_GB2312" w:hAnsi="仿宋_GB2312" w:cs="仿宋_GB2312" w:eastAsia="仿宋_GB2312"/>
              </w:rPr>
              <w:t>提供具备履行合同所必须的设备和专业技术能力的声明</w:t>
            </w:r>
          </w:p>
        </w:tc>
        <w:tc>
          <w:tcPr>
            <w:tcW w:type="dxa" w:w="1661"/>
          </w:tcPr>
          <w:p>
            <w:pPr>
              <w:pStyle w:val="null3"/>
            </w:pPr>
            <w:r>
              <w:rPr>
                <w:rFonts w:ascii="仿宋_GB2312" w:hAnsi="仿宋_GB2312" w:cs="仿宋_GB2312" w:eastAsia="仿宋_GB2312"/>
              </w:rPr>
              <w:t>中小企业声明函 报价表 商务应答表.docx 响应文件封面 其他附件要求.docx 残疾人福利性单位声明函 服务方案 标的清单 资格部分.docx 响应函 报价表.docx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提供参加政府采购活动前三年内，在经营活动中没有重大违法记录的声明</w:t>
            </w:r>
          </w:p>
        </w:tc>
        <w:tc>
          <w:tcPr>
            <w:tcW w:type="dxa" w:w="1661"/>
          </w:tcPr>
          <w:p>
            <w:pPr>
              <w:pStyle w:val="null3"/>
            </w:pPr>
            <w:r>
              <w:rPr>
                <w:rFonts w:ascii="仿宋_GB2312" w:hAnsi="仿宋_GB2312" w:cs="仿宋_GB2312" w:eastAsia="仿宋_GB2312"/>
              </w:rPr>
              <w:t>响应文件封面 资格部分.docx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法定代表人授权委托书、被授权人身份证（法定代表人参加磋商时,只需提供法定代表人身份证）</w:t>
            </w:r>
          </w:p>
        </w:tc>
        <w:tc>
          <w:tcPr>
            <w:tcW w:type="dxa" w:w="1661"/>
          </w:tcPr>
          <w:p>
            <w:pPr>
              <w:pStyle w:val="null3"/>
            </w:pPr>
            <w:r>
              <w:rPr>
                <w:rFonts w:ascii="仿宋_GB2312" w:hAnsi="仿宋_GB2312" w:cs="仿宋_GB2312" w:eastAsia="仿宋_GB2312"/>
              </w:rPr>
              <w:t>中小企业声明函 报价表 商务应答表.docx 响应文件封面 其他附件要求.docx 残疾人福利性单位声明函 服务方案 标的清单 资格部分.docx 报价表.docx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供应商为生产厂家的须具有《食品生产许可证》及《食品经营许可证》；供应商为代理商的须提供《食品经营许可证》。</w:t>
            </w:r>
          </w:p>
        </w:tc>
        <w:tc>
          <w:tcPr>
            <w:tcW w:type="dxa" w:w="1661"/>
          </w:tcPr>
          <w:p>
            <w:pPr>
              <w:pStyle w:val="null3"/>
            </w:pPr>
            <w:r>
              <w:rPr>
                <w:rFonts w:ascii="仿宋_GB2312" w:hAnsi="仿宋_GB2312" w:cs="仿宋_GB2312" w:eastAsia="仿宋_GB2312"/>
              </w:rPr>
              <w:t>响应文件封面 资格部分.docx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响应文件封面 资格部分.docx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中小企业声明函 商务应答表.docx 报价表 响应文件封面 其他附件要求.docx 残疾人福利性单位声明函 服务方案 标的清单 资格部分.docx 报价表.docx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①整体服务流程和方案②三餐营养搭配方案③食材配送方案④天然气购买和日常易损耗厨具的更新及日常维护的方案 。 二、评审标准 1、完整性：方案必须全面，对评审内容中的各项要求有详细描述； 2、可实施性：切合本项目实际情况，提出步骤清晰、合理的方案； 3、针对性：方案能够紧扣项目实际情况，内容科学合理。 三、赋分标准（满分16分） 上述4项评审内容共16分。根据以上评审标准横向对比，每一项内容齐全清晰得满分为4分； 如内容混乱不齐全得2分； 未提供得0分。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产品供应渠道及质量保证</w:t>
            </w:r>
          </w:p>
        </w:tc>
        <w:tc>
          <w:tcPr>
            <w:tcW w:type="dxa" w:w="2492"/>
          </w:tcPr>
          <w:p>
            <w:pPr>
              <w:pStyle w:val="null3"/>
            </w:pPr>
            <w:r>
              <w:rPr>
                <w:rFonts w:ascii="仿宋_GB2312" w:hAnsi="仿宋_GB2312" w:cs="仿宋_GB2312" w:eastAsia="仿宋_GB2312"/>
              </w:rPr>
              <w:t>一、评审内容 ①产品供应渠道②产品质量标准及保证措施 二、评审标准 配送产品种类、品牌齐全，质量有保证经过有资质的部门进行食品检测，符合国家质量标准和食品卫生安全要求，需提供检验报告等证明材料。 赋分标准（满分8分） 上述2项评审内容共8分，每项评审内容得4分。 产品质量完全符合要求，提供供货证明全面的得4分。 产品质量一般，提供供货证明较全面的得2分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运输车辆配备</w:t>
            </w:r>
          </w:p>
        </w:tc>
        <w:tc>
          <w:tcPr>
            <w:tcW w:type="dxa" w:w="2492"/>
          </w:tcPr>
          <w:p>
            <w:pPr>
              <w:pStyle w:val="null3"/>
            </w:pPr>
            <w:r>
              <w:rPr>
                <w:rFonts w:ascii="仿宋_GB2312" w:hAnsi="仿宋_GB2312" w:cs="仿宋_GB2312" w:eastAsia="仿宋_GB2312"/>
              </w:rPr>
              <w:t>一、评审内容 ①车辆类型、数量、用途、配置说明、保温保鲜条件、使用年限、车况等②提供车辆证明材料。 二、评审标准： 内容完整、配备车辆合理，符合项目需求得6分； 内容较完整、配备车辆较合理，基本符合项目需求得4分； 配备车辆不合理、描述过于简单、与项目特点不匹配、存在不适用项目实际情况的情形、证明材料不全得2分。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其他附件要求.docx</w:t>
            </w:r>
          </w:p>
        </w:tc>
      </w:tr>
      <w:tr>
        <w:tc>
          <w:tcPr>
            <w:tcW w:type="dxa" w:w="831"/>
            <w:vMerge/>
          </w:tcPr>
          <w:p/>
        </w:tc>
        <w:tc>
          <w:tcPr>
            <w:tcW w:type="dxa" w:w="1661"/>
          </w:tcPr>
          <w:p>
            <w:pPr>
              <w:pStyle w:val="null3"/>
            </w:pPr>
            <w:r>
              <w:rPr>
                <w:rFonts w:ascii="仿宋_GB2312" w:hAnsi="仿宋_GB2312" w:cs="仿宋_GB2312" w:eastAsia="仿宋_GB2312"/>
              </w:rPr>
              <w:t>项目重点难点分析及解决方案</w:t>
            </w:r>
          </w:p>
        </w:tc>
        <w:tc>
          <w:tcPr>
            <w:tcW w:type="dxa" w:w="2492"/>
          </w:tcPr>
          <w:p>
            <w:pPr>
              <w:pStyle w:val="null3"/>
            </w:pPr>
            <w:r>
              <w:rPr>
                <w:rFonts w:ascii="仿宋_GB2312" w:hAnsi="仿宋_GB2312" w:cs="仿宋_GB2312" w:eastAsia="仿宋_GB2312"/>
              </w:rPr>
              <w:t>一、评审内容 ①本项目实施面临的重点、难点进行分析②对本项目重点、难点的解决方案。 二、评审标准 1、完整性：方案必须全面，对评审内容中的各项要求有详细描述； 2、可实施性：切合本项目实际情况，提出步骤清晰、合理的方案； 3、针对性：方案能够紧扣项目实际情况，内容科学合理。 三、赋分标准（满分6分） 上述2项评审内容共6分，每项评审内容得3分。 每有一项项评审内容完整、可实施、具有针对性得3分； 每有一项评审内容存在缺陷，得1.5分；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①实施计划②项目人员管理③食品质量保障措施④配送进度管理 二、评审标准 1、完整性：方案必须全面，对评审内容中的各项要求有详细描述； 2、可实施性：切合本项目实际情况，提出步骤清晰、合理的方案； 3、针对性：方案能够紧扣项目实际情况，内容科学合理。 三、赋分标准（满分12分） 上述4项评审内容共12分，每项评审内容得3分。 每有一项项评审内容完整、可实施、具有针对性得3分； 每有一项评审内容存在缺陷，得1.5分； 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其他附件要求.docx</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一、评审条件 ①仓储场地、设备及设施条件②仓储设备证明材料。 二、评审标准 1、完整性：方案必须全面，对评审内容中的各项要求有详细描述； 2、可实施性：切合本项目实际情况，提出步骤清晰、合理的方案； 3、针对性：方案能够紧扣项目实际情况，内容科学合理。 三、赋分标准（满分4分） 上述2项评审内容共4分，每项评审内容得2分。 每有一项项评审内容完整、可实施、具有针对性得2分； 每有一项评审内容存在缺陷，得1分； 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供应商针对本项目有专业配送团队，配送人员须具有健康证，每有一人得1分，最高4分（需提供健康证复印件并加盖单位公章）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其他附件要求.docx</w:t>
            </w:r>
          </w:p>
        </w:tc>
      </w:tr>
      <w:tr>
        <w:tc>
          <w:tcPr>
            <w:tcW w:type="dxa" w:w="831"/>
            <w:vMerge/>
          </w:tcPr>
          <w:p/>
        </w:tc>
        <w:tc>
          <w:tcPr>
            <w:tcW w:type="dxa" w:w="1661"/>
          </w:tcPr>
          <w:p>
            <w:pPr>
              <w:pStyle w:val="null3"/>
            </w:pPr>
            <w:r>
              <w:rPr>
                <w:rFonts w:ascii="仿宋_GB2312" w:hAnsi="仿宋_GB2312" w:cs="仿宋_GB2312" w:eastAsia="仿宋_GB2312"/>
              </w:rPr>
              <w:t>退换货服务方案</w:t>
            </w:r>
          </w:p>
        </w:tc>
        <w:tc>
          <w:tcPr>
            <w:tcW w:type="dxa" w:w="2492"/>
          </w:tcPr>
          <w:p>
            <w:pPr>
              <w:pStyle w:val="null3"/>
            </w:pPr>
            <w:r>
              <w:rPr>
                <w:rFonts w:ascii="仿宋_GB2312" w:hAnsi="仿宋_GB2312" w:cs="仿宋_GB2312" w:eastAsia="仿宋_GB2312"/>
              </w:rPr>
              <w:t>供应商提供针对本项目在实际服务过程中的退换货服务方案进行评审，退换货服务方案具有针对性，详细可行得4分；退换货服务方案针对性较强，内容较合理得2分。不提供不得分。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其他附件要求.docx</w:t>
            </w:r>
          </w:p>
        </w:tc>
      </w:tr>
      <w:tr>
        <w:tc>
          <w:tcPr>
            <w:tcW w:type="dxa" w:w="831"/>
            <w:vMerge/>
          </w:tcPr>
          <w:p/>
        </w:tc>
        <w:tc>
          <w:tcPr>
            <w:tcW w:type="dxa" w:w="1661"/>
          </w:tcPr>
          <w:p>
            <w:pPr>
              <w:pStyle w:val="null3"/>
            </w:pPr>
            <w:r>
              <w:rPr>
                <w:rFonts w:ascii="仿宋_GB2312" w:hAnsi="仿宋_GB2312" w:cs="仿宋_GB2312" w:eastAsia="仿宋_GB2312"/>
              </w:rPr>
              <w:t>食品安全检测仪器配备</w:t>
            </w:r>
          </w:p>
        </w:tc>
        <w:tc>
          <w:tcPr>
            <w:tcW w:type="dxa" w:w="2492"/>
          </w:tcPr>
          <w:p>
            <w:pPr>
              <w:pStyle w:val="null3"/>
            </w:pPr>
            <w:r>
              <w:rPr>
                <w:rFonts w:ascii="仿宋_GB2312" w:hAnsi="仿宋_GB2312" w:cs="仿宋_GB2312" w:eastAsia="仿宋_GB2312"/>
              </w:rPr>
              <w:t>检测仪器设备数量充足、配置种类充分、合适本项目采购需求，得4分； 检测仪器配备检测仪器设备数量较充足、配置种类较充分、较合适本项目，得3分； 检测仪器设备数量少、配置种类少，得2分。不提供不得分。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应急配送方案</w:t>
            </w:r>
          </w:p>
        </w:tc>
        <w:tc>
          <w:tcPr>
            <w:tcW w:type="dxa" w:w="2492"/>
          </w:tcPr>
          <w:p>
            <w:pPr>
              <w:pStyle w:val="null3"/>
            </w:pPr>
            <w:r>
              <w:rPr>
                <w:rFonts w:ascii="仿宋_GB2312" w:hAnsi="仿宋_GB2312" w:cs="仿宋_GB2312" w:eastAsia="仿宋_GB2312"/>
              </w:rPr>
              <w:t>一、评审内容 供应商针对本项目的应急配送方案（包括但不限于①针对采购人临时采购需求②恶劣天气影响③重大节假日或活动等特殊情况等制定应急处理方案④使用过程出现问题的补救措施。 二、评审标准 1、完整性：方案必须全面，对评审内容中的各项要求有详细描述； 2、可实施性：切合本项目实际情况，提出步骤清晰、合理的方案； 3、针对性：方案能够紧扣项目实际情况，内容科学合理。 三、赋分标准（满分8分） 上述4项评审内容共8分，每项评审内容得2分。 每有一项项评审内容完整、可实施、具有针对性得2分； 每有一项评审内容存在缺陷，得1分；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针对本项目提出的服务方案和承诺</w:t>
            </w:r>
          </w:p>
        </w:tc>
        <w:tc>
          <w:tcPr>
            <w:tcW w:type="dxa" w:w="2492"/>
          </w:tcPr>
          <w:p>
            <w:pPr>
              <w:pStyle w:val="null3"/>
            </w:pPr>
            <w:r>
              <w:rPr>
                <w:rFonts w:ascii="仿宋_GB2312" w:hAnsi="仿宋_GB2312" w:cs="仿宋_GB2312" w:eastAsia="仿宋_GB2312"/>
              </w:rPr>
              <w:t>一、评审内容 ①服务标准②服务内容③服务承诺④食品安全保障措施。 二、评审标准 1、完整性：方案必须全面，对评审内容中的各项要求有详细描述； 2、可实施性：切合本项目实际情况，提出步骤清晰、合理的方案； 3、针对性：方案能够紧扣项目实际情况，内容科学合理。 三、赋分标准（满分8分） 上述4项评审内容共8分，每项评审内容得2分。 每有一项项评审内容完整、可实施、具有针对性得2分； 每有一项评审内容存在缺陷，得1分；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供应商提供2021年1月（以合同签订时间为准）至本项目磋商响应文件递交截止时间止同类项目合同，每提供一个得2分，最高得10分。 注：业绩须提供合同复印件(加盖供应商公章)。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其他附件要求.docx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详见附件：资格部分.docx</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详见附件：其他附件要求.docx</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