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0C3E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1410"/>
        <w:gridCol w:w="1095"/>
        <w:gridCol w:w="1355"/>
        <w:gridCol w:w="786"/>
        <w:gridCol w:w="800"/>
        <w:gridCol w:w="1162"/>
        <w:gridCol w:w="1601"/>
      </w:tblGrid>
      <w:tr w14:paraId="667AB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  <w:jc w:val="center"/>
        </w:trPr>
        <w:tc>
          <w:tcPr>
            <w:tcW w:w="739" w:type="dxa"/>
            <w:noWrap w:val="0"/>
            <w:vAlign w:val="center"/>
          </w:tcPr>
          <w:p w14:paraId="51653C5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序号</w:t>
            </w:r>
          </w:p>
        </w:tc>
        <w:tc>
          <w:tcPr>
            <w:tcW w:w="1410" w:type="dxa"/>
            <w:noWrap w:val="0"/>
            <w:vAlign w:val="center"/>
          </w:tcPr>
          <w:p w14:paraId="598A2310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货物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名称</w:t>
            </w:r>
          </w:p>
        </w:tc>
        <w:tc>
          <w:tcPr>
            <w:tcW w:w="1095" w:type="dxa"/>
            <w:noWrap w:val="0"/>
            <w:vAlign w:val="center"/>
          </w:tcPr>
          <w:p w14:paraId="030B229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品牌</w:t>
            </w:r>
          </w:p>
        </w:tc>
        <w:tc>
          <w:tcPr>
            <w:tcW w:w="1355" w:type="dxa"/>
            <w:noWrap w:val="0"/>
            <w:vAlign w:val="center"/>
          </w:tcPr>
          <w:p w14:paraId="6A0C1E3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/型号</w:t>
            </w:r>
          </w:p>
        </w:tc>
        <w:tc>
          <w:tcPr>
            <w:tcW w:w="786" w:type="dxa"/>
            <w:noWrap w:val="0"/>
            <w:vAlign w:val="center"/>
          </w:tcPr>
          <w:p w14:paraId="27E52D3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单位</w:t>
            </w:r>
          </w:p>
        </w:tc>
        <w:tc>
          <w:tcPr>
            <w:tcW w:w="800" w:type="dxa"/>
            <w:noWrap w:val="0"/>
            <w:vAlign w:val="center"/>
          </w:tcPr>
          <w:p w14:paraId="541EF6C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数量</w:t>
            </w:r>
          </w:p>
        </w:tc>
        <w:tc>
          <w:tcPr>
            <w:tcW w:w="1162" w:type="dxa"/>
            <w:noWrap w:val="0"/>
            <w:vAlign w:val="center"/>
          </w:tcPr>
          <w:p w14:paraId="2F99CFA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单价（元）</w:t>
            </w:r>
          </w:p>
        </w:tc>
        <w:tc>
          <w:tcPr>
            <w:tcW w:w="1601" w:type="dxa"/>
            <w:noWrap w:val="0"/>
            <w:vAlign w:val="center"/>
          </w:tcPr>
          <w:p w14:paraId="63740F4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金额 (元)</w:t>
            </w:r>
          </w:p>
        </w:tc>
      </w:tr>
      <w:tr w14:paraId="4245C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3539A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24AD7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A71D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79A6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04587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273C4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1C08B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22468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D33A1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59CD9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44516E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927E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392D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64ED2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E7C4E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5B09F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1F0B8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3FA71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9" w:type="dxa"/>
            <w:noWrap w:val="0"/>
            <w:vAlign w:val="center"/>
          </w:tcPr>
          <w:p w14:paraId="17D78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6156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8A84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6201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 w14:paraId="299E7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19F82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00E5E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601" w:type="dxa"/>
            <w:noWrap w:val="0"/>
            <w:vAlign w:val="center"/>
          </w:tcPr>
          <w:p w14:paraId="2E9305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69FD43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7347" w:type="dxa"/>
            <w:gridSpan w:val="7"/>
            <w:noWrap w:val="0"/>
            <w:vAlign w:val="center"/>
          </w:tcPr>
          <w:p w14:paraId="7AA2D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601" w:type="dxa"/>
            <w:noWrap w:val="0"/>
            <w:vAlign w:val="center"/>
          </w:tcPr>
          <w:p w14:paraId="70436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firstLine="480" w:firstLineChars="20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4590525C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</w:p>
    <w:p w14:paraId="0EBBE8C6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6"/>
          <w:sz w:val="22"/>
          <w:szCs w:val="22"/>
          <w:highlight w:val="none"/>
        </w:rPr>
      </w:pPr>
    </w:p>
    <w:p w14:paraId="5DD0CD3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注：</w:t>
      </w:r>
    </w:p>
    <w:p w14:paraId="3175A47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响应供应商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必须按“分项报价表”的格式详细报出各个产品的报价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报价精确到小数点后两位。</w:t>
      </w:r>
    </w:p>
    <w:p w14:paraId="44798DD4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、本表各分项报价合计应当与“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一览表”的报价相等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如果按单价计算的结果与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报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价不一致时，以单价为准修正报价与合计报价</w:t>
      </w: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。</w:t>
      </w:r>
    </w:p>
    <w:p w14:paraId="74C8B06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6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  <w:t>响应报价超过采购预算报价无效。</w:t>
      </w:r>
    </w:p>
    <w:p w14:paraId="47D4D086">
      <w:pPr>
        <w:kinsoku w:val="0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</w:t>
      </w:r>
    </w:p>
    <w:p w14:paraId="3E5BC4BE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2A251D18">
      <w:pPr>
        <w:pStyle w:val="2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</w:p>
    <w:p w14:paraId="568BC5BA">
      <w:pPr>
        <w:spacing w:line="360" w:lineRule="auto"/>
        <w:ind w:left="480" w:hanging="480" w:hangingChars="2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</w:p>
    <w:p w14:paraId="6E176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096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7693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61432E0B">
      <w:pPr>
        <w:kinsoku w:val="0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</w:t>
      </w:r>
    </w:p>
    <w:p w14:paraId="05F9F1C6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2DAAB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both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326E4"/>
    <w:rsid w:val="2B6326E4"/>
    <w:rsid w:val="4792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2025-04-21T03:07:00Z</dcterms:created>
  <dc:creator>傑。</dc:creator>
  <cp:lastModifiedBy>傑。</cp:lastModifiedBy>
  <dcterms:modified xsi:type="dcterms:W3CDTF">2025-04-23T06:57:26Z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88D548B24D834917A7CB8A4D1F9E5875_11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