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版本号：0617-2513FZ069620250421001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训练场馆木地板维保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0617-2513FZ0696</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训练场馆木地板维保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0617-2513FZ0696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训练场馆木地板维保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训练场馆木地板维保；2、项目概况：为保障西安市体育训练中心综合训练馆及击剑馆等场馆的运动实木地板能够满足训练需求且能够达到国际级标准，为运动动员提供更好的身体防护及更佳的训练效果，计划对西安市体育训练中心综合训练馆及击剑馆中所铺设的专业运动木地板共约25000平米，进行年度维护及保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采购包1（训练场馆木地板维保）：属于专门面向中小企业采购。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曹迎春、范龙飞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质量验收标准或规范：现行的国家标准或国家行政部门颁布的法律法规、规章制度等，是项目验收的另一个重要依据。没有国家标准的，可以参考行业标准。（具体内容以合同签订为准）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联系人：曹迎春、范龙飞</w:t>
      </w:r>
    </w:p>
    <w:p>
      <w:pPr>
        <w:pStyle w:val="null3"/>
      </w:pPr>
      <w:r>
        <w:rPr>
          <w:rFonts w:ascii="仿宋_GB2312" w:hAnsi="仿宋_GB2312" w:cs="仿宋_GB2312" w:eastAsia="仿宋_GB2312"/>
        </w:rPr>
        <w:t>联系电话：029-89651835</w:t>
      </w:r>
    </w:p>
    <w:p>
      <w:pPr>
        <w:pStyle w:val="null3"/>
      </w:pPr>
      <w:r>
        <w:rPr>
          <w:rFonts w:ascii="仿宋_GB2312" w:hAnsi="仿宋_GB2312" w:cs="仿宋_GB2312" w:eastAsia="仿宋_GB2312"/>
        </w:rPr>
        <w:t>地址：陕西省西安市雁塔区南二环西段58号成长大厦11层1107室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1、采购内容：</w:t>
      </w:r>
      <w:r>
        <w:rPr>
          <w:rFonts w:ascii="仿宋_GB2312" w:hAnsi="仿宋_GB2312" w:cs="仿宋_GB2312" w:eastAsia="仿宋_GB2312"/>
          <w:sz w:val="21"/>
        </w:rPr>
        <w:t>训练场馆木地板维保</w:t>
      </w:r>
      <w:r>
        <w:rPr>
          <w:rFonts w:ascii="仿宋_GB2312" w:hAnsi="仿宋_GB2312" w:cs="仿宋_GB2312" w:eastAsia="仿宋_GB2312"/>
          <w:sz w:val="21"/>
        </w:rPr>
        <w:t>；</w:t>
      </w:r>
      <w:r>
        <w:rPr>
          <w:rFonts w:ascii="仿宋_GB2312" w:hAnsi="仿宋_GB2312" w:cs="仿宋_GB2312" w:eastAsia="仿宋_GB2312"/>
          <w:sz w:val="21"/>
        </w:rPr>
        <w:t>2、项目概况：</w:t>
      </w:r>
      <w:r>
        <w:rPr>
          <w:rFonts w:ascii="仿宋_GB2312" w:hAnsi="仿宋_GB2312" w:cs="仿宋_GB2312" w:eastAsia="仿宋_GB2312"/>
          <w:sz w:val="21"/>
        </w:rPr>
        <w:t>为保障西安市体育训练中心综合训练馆及击剑馆等场馆的运动实木地板能够满足训练需求且能够达到国际级标准，为运动动员提供更好的身体防护及更佳的训练效果，计划对西安市体育训练中心综合训练馆及击剑馆中所铺设的专业运动木地板共约</w:t>
      </w:r>
      <w:r>
        <w:rPr>
          <w:rFonts w:ascii="仿宋_GB2312" w:hAnsi="仿宋_GB2312" w:cs="仿宋_GB2312" w:eastAsia="仿宋_GB2312"/>
          <w:sz w:val="21"/>
        </w:rPr>
        <w:t>25000平米，进行年度维护及保养。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训练场馆木地板维保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标的名称：训练场馆木地板维保</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项目情况</w:t>
            </w:r>
          </w:p>
        </w:tc>
        <w:tc>
          <w:tcPr>
            <w:tcW w:type="dxa" w:w="2076"/>
          </w:tcPr>
          <w:p>
            <w:pPr>
              <w:pStyle w:val="null3"/>
              <w:jc w:val="both"/>
            </w:pPr>
            <w:r>
              <w:rPr>
                <w:rFonts w:ascii="仿宋_GB2312" w:hAnsi="仿宋_GB2312" w:cs="仿宋_GB2312" w:eastAsia="仿宋_GB2312"/>
                <w:sz w:val="20"/>
                <w:b/>
              </w:rPr>
              <w:t>项目情况：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1）项目概况：</w:t>
            </w:r>
            <w:r>
              <w:rPr>
                <w:rFonts w:ascii="仿宋_GB2312" w:hAnsi="仿宋_GB2312" w:cs="仿宋_GB2312" w:eastAsia="仿宋_GB2312"/>
                <w:sz w:val="20"/>
              </w:rPr>
              <w:t>为保障西安市体育训练中心综合训练馆及击剑馆等场馆的运动实木地板能够满足训练需求且能够达到国际级标准，为运动动员提供更好的身体防护及更佳的训练效果，计划对西安市体育训练中心综合训练馆及击剑馆中所铺设的专业运动木地板共约</w:t>
            </w:r>
            <w:r>
              <w:rPr>
                <w:rFonts w:ascii="仿宋_GB2312" w:hAnsi="仿宋_GB2312" w:cs="仿宋_GB2312" w:eastAsia="仿宋_GB2312"/>
                <w:sz w:val="20"/>
              </w:rPr>
              <w:t>25000平米，进行年度维护及保养。</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依照国内外同等品牌的保养标准，对西安市体育训练中心综合训练馆及击剑馆等场馆的运动木地板进行深度清洁、地板表面防滑效果巩固、表面抛光等。</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技术要求</w:t>
            </w:r>
          </w:p>
        </w:tc>
        <w:tc>
          <w:tcPr>
            <w:tcW w:type="dxa" w:w="2076"/>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）每年不少于</w:t>
            </w:r>
            <w:r>
              <w:rPr>
                <w:rFonts w:ascii="仿宋_GB2312" w:hAnsi="仿宋_GB2312" w:cs="仿宋_GB2312" w:eastAsia="仿宋_GB2312"/>
                <w:sz w:val="20"/>
              </w:rPr>
              <w:t>2次使用专业设备对运动木地板冲击吸收率、标准垂直变形、球反弹、滑动摩擦系数进行检测，检测依据提供给使用方。</w:t>
            </w:r>
            <w:r>
              <w:rPr>
                <w:rFonts w:ascii="仿宋_GB2312" w:hAnsi="仿宋_GB2312" w:cs="仿宋_GB2312" w:eastAsia="仿宋_GB2312"/>
                <w:sz w:val="20"/>
              </w:rPr>
              <w:t>（需提供承诺）</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）保养后的体育馆用木质地板滑动摩擦系数应符合</w:t>
            </w:r>
            <w:r>
              <w:rPr>
                <w:rFonts w:ascii="仿宋_GB2312" w:hAnsi="仿宋_GB2312" w:cs="仿宋_GB2312" w:eastAsia="仿宋_GB2312"/>
                <w:sz w:val="20"/>
              </w:rPr>
              <w:t>GB/T20239-2023</w:t>
            </w:r>
            <w:r>
              <w:rPr>
                <w:rFonts w:ascii="仿宋_GB2312" w:hAnsi="仿宋_GB2312" w:cs="仿宋_GB2312" w:eastAsia="仿宋_GB2312"/>
                <w:sz w:val="20"/>
              </w:rPr>
              <w:t>（体育馆用木质地板）</w:t>
            </w:r>
            <w:r>
              <w:rPr>
                <w:rFonts w:ascii="仿宋_GB2312" w:hAnsi="仿宋_GB2312" w:cs="仿宋_GB2312" w:eastAsia="仿宋_GB2312"/>
                <w:sz w:val="20"/>
              </w:rPr>
              <w:t>中相关要求规定。</w:t>
            </w:r>
            <w:r>
              <w:rPr>
                <w:rFonts w:ascii="仿宋_GB2312" w:hAnsi="仿宋_GB2312" w:cs="仿宋_GB2312" w:eastAsia="仿宋_GB2312"/>
                <w:sz w:val="20"/>
              </w:rPr>
              <w:t>（需提供承诺）</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服务要求</w:t>
            </w:r>
          </w:p>
        </w:tc>
        <w:tc>
          <w:tcPr>
            <w:tcW w:type="dxa" w:w="2076"/>
          </w:tcPr>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）维保施工期间：派驻专业的项目负责人</w:t>
            </w:r>
            <w:r>
              <w:rPr>
                <w:rFonts w:ascii="仿宋_GB2312" w:hAnsi="仿宋_GB2312" w:cs="仿宋_GB2312" w:eastAsia="仿宋_GB2312"/>
                <w:sz w:val="20"/>
              </w:rPr>
              <w:t>1名、专业的维保工人不低于5人。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）专业的运动木地板清洁设备不低于</w:t>
            </w:r>
            <w:r>
              <w:rPr>
                <w:rFonts w:ascii="仿宋_GB2312" w:hAnsi="仿宋_GB2312" w:cs="仿宋_GB2312" w:eastAsia="仿宋_GB2312"/>
                <w:sz w:val="20"/>
              </w:rPr>
              <w:t>4台。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）专人</w:t>
            </w:r>
            <w:r>
              <w:rPr>
                <w:rFonts w:ascii="仿宋_GB2312" w:hAnsi="仿宋_GB2312" w:cs="仿宋_GB2312" w:eastAsia="仿宋_GB2312"/>
                <w:sz w:val="20"/>
              </w:rPr>
              <w:t>12小时清洁及不间断保洁，做到无臭味、无污垢。（需提供承诺）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）对场馆原安装的运动木地板的材质性能和运动性能，必须有精准的掌握。（需提供承诺）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）必须使用原装木地板表面油漆等所要的清洁剂、保养剂、上光剂等产品。</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）对国家的相关标准，比如</w:t>
            </w:r>
            <w:r>
              <w:rPr>
                <w:rFonts w:ascii="仿宋_GB2312" w:hAnsi="仿宋_GB2312" w:cs="仿宋_GB2312" w:eastAsia="仿宋_GB2312"/>
                <w:sz w:val="20"/>
              </w:rPr>
              <w:t>GB/T20239-2023（体育馆用木质地板）标准等，熟练掌握。（需提供承诺）</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进度要求</w:t>
            </w:r>
          </w:p>
        </w:tc>
        <w:tc>
          <w:tcPr>
            <w:tcW w:type="dxa" w:w="2076"/>
          </w:tcPr>
          <w:p>
            <w:pPr>
              <w:pStyle w:val="null3"/>
              <w:jc w:val="both"/>
            </w:pPr>
            <w:r>
              <w:rPr>
                <w:rFonts w:ascii="仿宋_GB2312" w:hAnsi="仿宋_GB2312" w:cs="仿宋_GB2312" w:eastAsia="仿宋_GB2312"/>
                <w:sz w:val="20"/>
                <w:b/>
                <w:color w:val="000000"/>
              </w:rPr>
              <w:t>进度要求：</w:t>
            </w:r>
          </w:p>
          <w:p>
            <w:pPr>
              <w:pStyle w:val="null3"/>
              <w:ind w:firstLine="432"/>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）维保前</w:t>
            </w:r>
            <w:r>
              <w:rPr>
                <w:rFonts w:ascii="仿宋_GB2312" w:hAnsi="仿宋_GB2312" w:cs="仿宋_GB2312" w:eastAsia="仿宋_GB2312"/>
                <w:sz w:val="20"/>
                <w:color w:val="000000"/>
              </w:rPr>
              <w:t>10天，提供专业的维修保养方案。</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w:t>
            </w:r>
            <w:r>
              <w:rPr>
                <w:rFonts w:ascii="仿宋_GB2312" w:hAnsi="仿宋_GB2312" w:cs="仿宋_GB2312" w:eastAsia="仿宋_GB2312"/>
                <w:sz w:val="20"/>
                <w:color w:val="000000"/>
              </w:rPr>
              <w:t>）原则上维保服务施工工期控制在</w:t>
            </w:r>
            <w:r>
              <w:rPr>
                <w:rFonts w:ascii="仿宋_GB2312" w:hAnsi="仿宋_GB2312" w:cs="仿宋_GB2312" w:eastAsia="仿宋_GB2312"/>
                <w:sz w:val="20"/>
                <w:color w:val="000000"/>
              </w:rPr>
              <w:t>25天内</w:t>
            </w:r>
            <w:r>
              <w:rPr>
                <w:rFonts w:ascii="仿宋_GB2312" w:hAnsi="仿宋_GB2312" w:cs="仿宋_GB2312" w:eastAsia="仿宋_GB2312"/>
                <w:sz w:val="20"/>
                <w:color w:val="000000"/>
              </w:rPr>
              <w:t>。</w:t>
            </w: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成果交付要求</w:t>
            </w:r>
          </w:p>
        </w:tc>
        <w:tc>
          <w:tcPr>
            <w:tcW w:type="dxa" w:w="2076"/>
          </w:tcPr>
          <w:p>
            <w:pPr>
              <w:pStyle w:val="null3"/>
              <w:jc w:val="both"/>
            </w:pPr>
            <w:r>
              <w:rPr>
                <w:rFonts w:ascii="仿宋_GB2312" w:hAnsi="仿宋_GB2312" w:cs="仿宋_GB2312" w:eastAsia="仿宋_GB2312"/>
                <w:sz w:val="20"/>
                <w:b/>
              </w:rPr>
              <w:t>成果交付要求</w:t>
            </w:r>
            <w:r>
              <w:rPr>
                <w:rFonts w:ascii="仿宋_GB2312" w:hAnsi="仿宋_GB2312" w:cs="仿宋_GB2312" w:eastAsia="仿宋_GB2312"/>
                <w:sz w:val="20"/>
                <w:b/>
              </w:rPr>
              <w:t>：</w:t>
            </w:r>
          </w:p>
          <w:p>
            <w:pPr>
              <w:pStyle w:val="null3"/>
              <w:ind w:firstLine="432"/>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原始材料入场审验、检验报告、合格证。</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w:t>
            </w:r>
            <w:r>
              <w:rPr>
                <w:rFonts w:ascii="仿宋_GB2312" w:hAnsi="仿宋_GB2312" w:cs="仿宋_GB2312" w:eastAsia="仿宋_GB2312"/>
                <w:sz w:val="20"/>
                <w:color w:val="000000"/>
              </w:rPr>
              <w:t>施工前后的实景照片、视频等成果对比等。</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商务要求</w:t>
            </w:r>
          </w:p>
        </w:tc>
        <w:tc>
          <w:tcPr>
            <w:tcW w:type="dxa" w:w="2076"/>
          </w:tcPr>
          <w:p>
            <w:pPr>
              <w:pStyle w:val="null3"/>
              <w:jc w:val="both"/>
            </w:pP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服务期限</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跟据业主方的实际情况，</w:t>
            </w:r>
            <w:r>
              <w:rPr>
                <w:rFonts w:ascii="仿宋_GB2312" w:hAnsi="仿宋_GB2312" w:cs="仿宋_GB2312" w:eastAsia="仿宋_GB2312"/>
                <w:sz w:val="20"/>
              </w:rPr>
              <w:t>最大</w:t>
            </w:r>
            <w:r>
              <w:rPr>
                <w:rFonts w:ascii="仿宋_GB2312" w:hAnsi="仿宋_GB2312" w:cs="仿宋_GB2312" w:eastAsia="仿宋_GB2312"/>
                <w:sz w:val="20"/>
              </w:rPr>
              <w:t>限度的降低停用时间为原则，双方协商制定</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款项结算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 xml:space="preserve">       合同签订后</w:t>
            </w:r>
            <w:r>
              <w:rPr>
                <w:rFonts w:ascii="仿宋_GB2312" w:hAnsi="仿宋_GB2312" w:cs="仿宋_GB2312" w:eastAsia="仿宋_GB2312"/>
                <w:sz w:val="20"/>
                <w:color w:val="000000"/>
              </w:rPr>
              <w:t>5个工作日内支付合同总价款的</w:t>
            </w:r>
            <w:r>
              <w:rPr>
                <w:rFonts w:ascii="仿宋_GB2312" w:hAnsi="仿宋_GB2312" w:cs="仿宋_GB2312" w:eastAsia="仿宋_GB2312"/>
                <w:sz w:val="20"/>
                <w:color w:val="000000"/>
              </w:rPr>
              <w:t>40</w:t>
            </w:r>
            <w:r>
              <w:rPr>
                <w:rFonts w:ascii="仿宋_GB2312" w:hAnsi="仿宋_GB2312" w:cs="仿宋_GB2312" w:eastAsia="仿宋_GB2312"/>
                <w:sz w:val="20"/>
                <w:color w:val="000000"/>
              </w:rPr>
              <w:t>%；项目实施阶段完成后5个工作日内支付合同总价款的</w:t>
            </w:r>
            <w:r>
              <w:rPr>
                <w:rFonts w:ascii="仿宋_GB2312" w:hAnsi="仿宋_GB2312" w:cs="仿宋_GB2312" w:eastAsia="仿宋_GB2312"/>
                <w:sz w:val="20"/>
                <w:color w:val="000000"/>
              </w:rPr>
              <w:t>4</w:t>
            </w:r>
            <w:r>
              <w:rPr>
                <w:rFonts w:ascii="仿宋_GB2312" w:hAnsi="仿宋_GB2312" w:cs="仿宋_GB2312" w:eastAsia="仿宋_GB2312"/>
                <w:sz w:val="20"/>
                <w:color w:val="000000"/>
              </w:rPr>
              <w:t>0%；成果交付验收合格后，5个工作日内支付合同总价款的</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7</w:t>
            </w:r>
          </w:p>
        </w:tc>
        <w:tc>
          <w:tcPr>
            <w:tcW w:type="dxa" w:w="2076"/>
          </w:tcPr>
          <w:p>
            <w:pPr>
              <w:pStyle w:val="null3"/>
            </w:pPr>
            <w:r>
              <w:rPr>
                <w:rFonts w:ascii="仿宋_GB2312" w:hAnsi="仿宋_GB2312" w:cs="仿宋_GB2312" w:eastAsia="仿宋_GB2312"/>
              </w:rPr>
              <w:t>其他说明</w:t>
            </w:r>
          </w:p>
        </w:tc>
        <w:tc>
          <w:tcPr>
            <w:tcW w:type="dxa" w:w="2076"/>
          </w:tcPr>
          <w:p>
            <w:pPr>
              <w:pStyle w:val="null3"/>
              <w:jc w:val="both"/>
            </w:pPr>
            <w:r>
              <w:rPr>
                <w:rFonts w:ascii="仿宋_GB2312" w:hAnsi="仿宋_GB2312" w:cs="仿宋_GB2312" w:eastAsia="仿宋_GB2312"/>
                <w:sz w:val="20"/>
              </w:rPr>
              <w:t>采购需求中除</w:t>
            </w:r>
            <w:r>
              <w:rPr>
                <w:rFonts w:ascii="仿宋_GB2312" w:hAnsi="仿宋_GB2312" w:cs="仿宋_GB2312" w:eastAsia="仿宋_GB2312"/>
                <w:sz w:val="20"/>
              </w:rPr>
              <w:t>★项不得偏离外，其余参数根据偏离内容及情况进行评审，具体以磋商办法要求为准。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跟据业主方的实际情况，最大限度的降低停用时间为原则，双方协商制定。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质量验收标准或规范：现行的国家标准或国家行政部门颁布的法律法规、规章制度等，是项目验收的另一个重要依据。没有国家标准的，可以参考行业标准。（具体内容以合同签订为准）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成果交付验收合格后，5个工作日内（以此处为准）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服务方案问题发生争议的，应聘请国家认可的相关部门进行鉴定。服务符合标准的，鉴定费由买方承担；服务不符合标准的，鉴定费由卖方承担。因履行本合同引起的或与本合同有关的争议，甲乙双方应首先通过友好协商解决，如果协商不能解决，可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具体内容详见“技术参数与性能指标”。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4）具有依法缴纳社会保障资金的良好记录 提供缴费所属日期为磋商截止时间前12个月内任一月份（磋商截止时间当月不计入）的缴费凭据或社保机关出具的缴费证明/在法规范围内不需提供的应出具书面说明和证明文件；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原件，授权书附件同时提供：①法定代表人、被授权人身份证复印件；②被授权人在文件递交截止时间前6个月内任意一个月的社保证明材料（如为60岁以上，可提供劳动合同或公司工资转账凭证）复印件。 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或2024年度经审计的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或财政部门认可的政府采购专业担保机构出具的投标担保函；以上三种形式的资料提供任何一种即可。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一、响应文件的完整性审查。响应文件是否按照磋商文件要求的格式编写； 二、响应文件的有效性审查。响应文件的签署、加盖印章是否有效；提供的各种证明文件、数据、资料是否有效。 三、响应文件的响应性审查。 1、响应报价是否超过采购预算或最高限价； 2、响应报价有效期是否符合磋商文件的要求； 3、符合《政府采购促进中小企业发展暂行办法》（财库〔2020〕46号）条件的中小企业参与，供应商应填写中小企业声明函并对真实性负责。（残疾人福利性单位及监狱企业视同为小型、微型企业）； 4、磋商文件第三章技术参数与性能指标加★项是否完全响应，无负偏离。</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供应商针对服务内容制定科学合理的服务方案，包含但不限于：①维护保养方案②维保服务工期控制方案③运动木地板磨损检测及牢固性检测方案④清洁维护方案。 1、每一项服务方案、措施针对性强、切实可行，服务计划方案详细合理，完全满足项目需求，得5分； 2、每一项服务方案、措施有一定针对性、较为科学合理，服务计划方案合理，基本满足项目需求，得3分； 3、每一项服务方案、措施针对性一般、有一定可操作性，服务计划方案完整，能满足项目需求，得2分； 4、每一项服务方案、措施针对性较差，服务计划方案保障性较差、内容有缺失，不能满足基本项目需求，得1分； 5、未提供，得0分。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进度承诺</w:t>
            </w:r>
          </w:p>
        </w:tc>
        <w:tc>
          <w:tcPr>
            <w:tcW w:type="dxa" w:w="2492"/>
          </w:tcPr>
          <w:p>
            <w:pPr>
              <w:pStyle w:val="null3"/>
            </w:pPr>
            <w:r>
              <w:rPr>
                <w:rFonts w:ascii="仿宋_GB2312" w:hAnsi="仿宋_GB2312" w:cs="仿宋_GB2312" w:eastAsia="仿宋_GB2312"/>
              </w:rPr>
              <w:t>1、维保前10天，提供专业的维修保养方案，并能够配合采购人要求进行方案修正，提供承诺的，得3分，未承诺，得0分。 2、维保服务工期控制在25天内，提供承诺的，得3分，承诺工期每缩减2天，加1分，最多加4分，未承诺，得0分。（承诺缩减的工期的，需附对应缩减措施或工期计划安排等合理佐证资料，否则不加分。）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1、维保期间：派驻专业的项目负责人1名；专业的维保工人不低于5人的，得3分，不满足，得0分。另每增加1名维保工人，加0.5分，最多加2分。 2、根据供应商拟投入维保服务人员配备方案、项目管理组织架构情况进行评审，需提供详细职员姓名、职务、资格证或专业证书，主要资历、经验情况等。 ①供应商针对本项目的提供详细的人员配备方案，团队组织结构合理，职责分明，人员数量充足，且具有丰富维保经验，提供详细的证明资料，得10分； ②供应商针对本项目提供完整的人员配备方案，团队组织结构合理，职责分明，人员数量满足项目要求，且具有相关维保经验，提供部分证明资料，得7分； ③供应商提供人员配备方案，团队组织结构合理，人员数量基本满足项目需求，主要工作人员具有维保经验，提供的证明材料单一，得4分； ④供应商提供人员配备方案简单，团队人员无维保经验证明，得2分； ⑤未提供，得0分。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1、供应商配备的专业的运动木地板清洁设备不低于4台，提供设备购入发票或租赁合同等相关证明材料，得3分，未提供或清洁设备少于4台，本项得0分。 2、根据供应商所配备的投入维保检测仪器设备、清洁设备情况进行综合评审，应提供维保需要使用专业的仪器（例：专用运动木地板打磨机等），确场馆运动实木地板能够达到国家级标准。 ①设备配置配备合理、有丰富的专业维保工具，能够保证项目顺利实施，提供设备购入发票或租赁合同等相关证明材料，得6分； ②设备配备基本合理、有专业维保工具，能够保证项目顺利实施，提供部分设备购入发票或租赁合同等相关证明材料，得4分； ③设备配备基本能够保证项目实施，有部分设备购入发票或租赁合同等相关证明材料，得2分； ④未提供，得0分。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使用材料的节能、环保及安全性</w:t>
            </w:r>
          </w:p>
        </w:tc>
        <w:tc>
          <w:tcPr>
            <w:tcW w:type="dxa" w:w="2492"/>
          </w:tcPr>
          <w:p>
            <w:pPr>
              <w:pStyle w:val="null3"/>
            </w:pPr>
            <w:r>
              <w:rPr>
                <w:rFonts w:ascii="仿宋_GB2312" w:hAnsi="仿宋_GB2312" w:cs="仿宋_GB2312" w:eastAsia="仿宋_GB2312"/>
              </w:rPr>
              <w:t>1、供应商必须使用原装木地板表面油漆等所有的清洁剂、保养剂、上光剂等产品，需提供承诺函，得2分，未提供，得0分。 2、根据供应商拟投入本项目所使用的其他修复及保养材料的节能、环保及安全性进行综合评审。 ①拟投入修复及保养材料节能、环保、安全性高，得8分； ②拟投入修复及保养材料节能、环保、安全性相对较高，得6分； ③拟投入修复及保养材料节能性、环保性、安全性一般，得3分； ④未提供相关证明材料，得0分。 注：供应商应提供所投修复及保养材料的相关检测证书或者产品出厂说明。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日常使用及保养培训方案</w:t>
            </w:r>
          </w:p>
        </w:tc>
        <w:tc>
          <w:tcPr>
            <w:tcW w:type="dxa" w:w="2492"/>
          </w:tcPr>
          <w:p>
            <w:pPr>
              <w:pStyle w:val="null3"/>
            </w:pPr>
            <w:r>
              <w:rPr>
                <w:rFonts w:ascii="仿宋_GB2312" w:hAnsi="仿宋_GB2312" w:cs="仿宋_GB2312" w:eastAsia="仿宋_GB2312"/>
              </w:rPr>
              <w:t>1、根据供应商针对本项目提供的日常使用及保养培训方案进行综合评审，包括包括但不限于日常使用注意事项、日常保养维护及日常维护人员培训等。 ①日常使用及保养培训方案科学合理，方案细致完整、可行、描述条理清晰，内容齐全，有较高的针对性，得6分； ②日常使用及保养培训方案措施方案较完整，可基本满足项目要求，得3分； ③日常使用及保养培训方案措施方案有明显缺陷，响应时间较长，针对性较差，得1分； ④未提供，得0分。 2、对于业主的服务通知，维保单位须确保24小时响应服务，得2分，需提供承诺函，未提供，得0分。 3、维保单位的紧急联络专职工作人员不少于3人，并可提供相应人员名单、值班表及应急通讯，得2分，未提供，得0分。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1、供应商自2021年1月1日起至今，服务过的体育场馆的类似场地保障、维保项目案例不少于5个，满足得3分，不满足，得0分。 注：①以中标/成交通知书或合同协议书或使用单位提供的相关证明资料复印件加盖公章为准。②时间以中标/成交通知书或合同协议书签订时间或使用单位提供的相关证明资料为准。 2、供应商自2021年1月1日起至今，承担过国家级大型赛事的场地保障、维保项目不少于5个，满足得3分，每增加1项，得1分，最多加9分，不满足，得0分。 注：①以中标/成交通知书或合同协议书或使用单位提供的相关证明资料复印件加盖公章为准。②时间以中标/成交通知书或合同协议书签订时间或使用单位提供的相关证明资料为准。 体育场馆维保业绩与国家级大型赛事的场地保障、维保业绩不重复计分。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1、经初审合格的磋商响应文件，其磋商报价为有效磋商报价，对其价格（评审价格）进行价格评审。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技术商务部分.docx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