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2EBDB1">
      <w:pPr>
        <w:jc w:val="center"/>
        <w:rPr>
          <w:rFonts w:hint="eastAsia" w:ascii="宋体" w:hAnsi="宋体" w:eastAsia="宋体"/>
          <w:color w:val="auto"/>
          <w:sz w:val="24"/>
          <w:szCs w:val="24"/>
          <w:highlight w:val="none"/>
          <w:lang w:eastAsia="zh-CN"/>
        </w:rPr>
      </w:pPr>
      <w:r>
        <w:rPr>
          <w:rFonts w:hint="eastAsia" w:ascii="宋体" w:hAnsi="宋体"/>
          <w:b/>
          <w:bCs/>
          <w:color w:val="auto"/>
          <w:sz w:val="32"/>
          <w:szCs w:val="32"/>
          <w:highlight w:val="none"/>
          <w:lang w:eastAsia="zh-CN"/>
        </w:rPr>
        <w:t>合同通用条款</w:t>
      </w:r>
    </w:p>
    <w:p w14:paraId="07B71A3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1.定义</w:t>
      </w:r>
    </w:p>
    <w:p w14:paraId="6664B017">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本合同下列术语应解释为</w:t>
      </w:r>
      <w:r>
        <w:rPr>
          <w:rFonts w:hint="eastAsia" w:ascii="宋体" w:hAnsi="宋体" w:eastAsia="宋体" w:cs="宋体"/>
          <w:color w:val="auto"/>
          <w:sz w:val="24"/>
          <w:szCs w:val="24"/>
          <w:highlight w:val="none"/>
          <w:lang w:eastAsia="zh-CN"/>
        </w:rPr>
        <w:t>：</w:t>
      </w:r>
    </w:p>
    <w:p w14:paraId="2E48FF51">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1.1“合同”系指买卖双方签署的、合同格式中载明的买卖双方所达成的协议,包括所有的附件、附录和上述文件所提到的构成合同的所有文件。</w:t>
      </w:r>
    </w:p>
    <w:p w14:paraId="1377C2E6">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1.2“合同价”系指根据本合同规定，卖方在正确地完全履行合同义务后买方应支付给卖方的价格。</w:t>
      </w:r>
    </w:p>
    <w:p w14:paraId="23A56095">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1.3“服务”系指根据合同规定，卖方提供的服务。</w:t>
      </w:r>
    </w:p>
    <w:p w14:paraId="4C882D9C">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1.4“合同条款”系指本合同条款。</w:t>
      </w:r>
    </w:p>
    <w:p w14:paraId="050F6FB1">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1.5“买方”系指在合同专用条款中指明的购买货物和服务的单位。</w:t>
      </w:r>
    </w:p>
    <w:p w14:paraId="30F68A6B">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1.6“卖方”系指签署本合同，提供本合同项下货物和服务的单位。</w:t>
      </w:r>
    </w:p>
    <w:p w14:paraId="70D6E733">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1.7“服务地点”系指本合同(包括附件)指明的提供服务的地点。</w:t>
      </w:r>
    </w:p>
    <w:p w14:paraId="6DE17024">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1.8“天”指日历天数。</w:t>
      </w:r>
    </w:p>
    <w:p w14:paraId="3E0D763A">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2.服务要求</w:t>
      </w:r>
    </w:p>
    <w:p w14:paraId="37DF15DC">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2.1卖方提供服务应与本合同所指明的服务(包括合同附件)相一致。</w:t>
      </w:r>
    </w:p>
    <w:p w14:paraId="4D97FF3A">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2.2见合同专用条款。</w:t>
      </w:r>
    </w:p>
    <w:p w14:paraId="1694FC7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3.专利权</w:t>
      </w:r>
    </w:p>
    <w:p w14:paraId="6C09AA0A">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3.1卖方应保证买方在使用该服务或其任何一部分时免受第三方提出侵犯其专利权·商标权、工业设计权或其他知识产权的起诉。</w:t>
      </w:r>
    </w:p>
    <w:p w14:paraId="026BBB4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4.服务地点和服务期限</w:t>
      </w:r>
    </w:p>
    <w:p w14:paraId="36C64493">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4.1见合同专用条款。</w:t>
      </w:r>
    </w:p>
    <w:p w14:paraId="3E36E73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5.保险</w:t>
      </w:r>
    </w:p>
    <w:p w14:paraId="45EEF3A5">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5.1卖方应为所提供服务的人员等购买保险。</w:t>
      </w:r>
    </w:p>
    <w:p w14:paraId="6F622265">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6.付款</w:t>
      </w:r>
    </w:p>
    <w:p w14:paraId="65EAA7DB">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6.1本合同以人民币付款。</w:t>
      </w:r>
    </w:p>
    <w:p w14:paraId="748F4EC9">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6.2卖方应按照双方签订的合同规定提供服务,服务成果由买方验收合格并出具验收书后，连同合同一并送政府采购管理部门办理结算。</w:t>
      </w:r>
    </w:p>
    <w:p w14:paraId="4BE3F89B">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6.3见合同专用条款。</w:t>
      </w:r>
    </w:p>
    <w:p w14:paraId="3BBD536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7.质量保证及索赔</w:t>
      </w:r>
    </w:p>
    <w:p w14:paraId="2DD4476B">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7.1卖方应保证所供服务完全符合合同规定的要求。</w:t>
      </w:r>
    </w:p>
    <w:p w14:paraId="25ED8C14">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7.2在服务期限内，如果服务与合同有任何一项不符，买方应尽快以书面形式向卖方提出索赔。同时应向政府采购管理部门报告。</w:t>
      </w:r>
    </w:p>
    <w:p w14:paraId="46D307FE">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7.3卖方在收到买方的通知后，应及时纠正。具体响应时限见专用合同条款。</w:t>
      </w:r>
    </w:p>
    <w:p w14:paraId="5339A29E">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如果卖方在收到通知后，没有在上述专用合同条款中规定的时限内及时纠正和弥补，买方可采取必要的补救措施，但其风险和费用将由卖方承担，买方根据合同规定对卖方行使的其它权力不受影响。买方亦可从合同款和卖方履约保证金中扣回索赔金额。</w:t>
      </w:r>
    </w:p>
    <w:p w14:paraId="35C7FBF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8.检验和验收</w:t>
      </w:r>
    </w:p>
    <w:p w14:paraId="542053A5">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8.1在完成每项服务内容前，供应商应对服务的内容、实施的效果等进行准确而全面的检验，并出具相关证明文件。</w:t>
      </w:r>
    </w:p>
    <w:p w14:paraId="35C76B68">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8.2服务成果，由采购单位根据合同规定的标准要求进行验收，并出具验收书。验收书应当包括履约情况。</w:t>
      </w:r>
    </w:p>
    <w:p w14:paraId="6E00DFFB">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8.3履约验收方案以合同约定为准。</w:t>
      </w:r>
    </w:p>
    <w:p w14:paraId="7F220AB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9.违约责任</w:t>
      </w:r>
    </w:p>
    <w:p w14:paraId="10BDF5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9.1合同一方不履行合同义务、履行合同义务不符合约定或者违反合同项下所作保证的，应向对方承担继续履行、采取修理、更换、退货等补救措施或者赔偿损失等违约责任。</w:t>
      </w:r>
    </w:p>
    <w:p w14:paraId="222B2E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9.2如卖方事先未征得买方同意并得到买方的谅解而单方面延迟提供服务的情况，将按违约终止合同。</w:t>
      </w:r>
    </w:p>
    <w:p w14:paraId="10E143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9.3在履行合同过程中，如果卖方遇到可能妨碍按时提供服务的情况，应及时以书面形式将拖延的事实,可能拖延的期限和理由通知买方。买方在收到卖方通知后，应尽快对情况进行评价，并确定是否通过修改合同，酌情延长服务期限或对卖方加收误期赔偿金。误期赔偿金以每周0.5%计。</w:t>
      </w:r>
    </w:p>
    <w:p w14:paraId="6E8A8185">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80" w:firstLineChars="200"/>
        <w:textAlignment w:val="auto"/>
        <w:rPr>
          <w:rStyle w:val="11"/>
          <w:rFonts w:hint="eastAsia" w:ascii="宋体" w:hAnsi="宋体" w:eastAsia="宋体" w:cs="宋体"/>
          <w:color w:val="auto"/>
          <w:sz w:val="24"/>
          <w:szCs w:val="24"/>
          <w:highlight w:val="none"/>
        </w:rPr>
      </w:pPr>
      <w:r>
        <w:rPr>
          <w:rStyle w:val="11"/>
          <w:rFonts w:hint="eastAsia" w:ascii="宋体" w:hAnsi="宋体" w:eastAsia="宋体" w:cs="宋体"/>
          <w:color w:val="auto"/>
          <w:sz w:val="24"/>
          <w:szCs w:val="24"/>
          <w:highlight w:val="none"/>
        </w:rPr>
        <w:t>9.4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1D044863">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80" w:firstLineChars="200"/>
        <w:textAlignment w:val="auto"/>
        <w:rPr>
          <w:rStyle w:val="11"/>
          <w:rFonts w:hint="eastAsia" w:ascii="宋体" w:hAnsi="宋体" w:eastAsia="宋体" w:cs="宋体"/>
          <w:color w:val="auto"/>
          <w:sz w:val="24"/>
          <w:szCs w:val="24"/>
          <w:highlight w:val="none"/>
        </w:rPr>
      </w:pPr>
      <w:r>
        <w:rPr>
          <w:rStyle w:val="11"/>
          <w:rFonts w:hint="eastAsia" w:ascii="宋体" w:hAnsi="宋体" w:eastAsia="宋体" w:cs="宋体"/>
          <w:color w:val="auto"/>
          <w:sz w:val="24"/>
          <w:szCs w:val="24"/>
          <w:highlight w:val="none"/>
        </w:rPr>
        <w:t>9.5受影响一方应在不可抗力事件发生后尽快用书面形式通知对方，并于不可抗力事件发生后十四（14）天内将有关当局出具的证明文件用特快专递或挂号信寄给对方审阅确认。</w:t>
      </w:r>
    </w:p>
    <w:p w14:paraId="5A321668">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80" w:firstLineChars="200"/>
        <w:textAlignment w:val="auto"/>
        <w:rPr>
          <w:rStyle w:val="11"/>
          <w:rFonts w:hint="eastAsia" w:ascii="宋体" w:hAnsi="宋体" w:eastAsia="宋体" w:cs="宋体"/>
          <w:color w:val="auto"/>
          <w:sz w:val="24"/>
          <w:szCs w:val="24"/>
          <w:highlight w:val="none"/>
        </w:rPr>
      </w:pPr>
      <w:r>
        <w:rPr>
          <w:rStyle w:val="11"/>
          <w:rFonts w:hint="eastAsia" w:ascii="宋体" w:hAnsi="宋体" w:eastAsia="宋体" w:cs="宋体"/>
          <w:color w:val="auto"/>
          <w:sz w:val="24"/>
          <w:szCs w:val="24"/>
          <w:highlight w:val="none"/>
        </w:rPr>
        <w:t>9.6因合同一方迟延履行合同后发生不可抗力的，不能免除迟延履行方的相应责任。</w:t>
      </w:r>
    </w:p>
    <w:p w14:paraId="1B65D9C8">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80" w:firstLineChars="200"/>
        <w:textAlignment w:val="auto"/>
        <w:rPr>
          <w:rStyle w:val="11"/>
          <w:rFonts w:hint="eastAsia" w:ascii="宋体" w:hAnsi="宋体" w:eastAsia="宋体" w:cs="宋体"/>
          <w:color w:val="auto"/>
          <w:sz w:val="24"/>
          <w:szCs w:val="24"/>
          <w:highlight w:val="none"/>
          <w:lang w:val="en-US" w:eastAsia="zh-CN"/>
        </w:rPr>
      </w:pPr>
      <w:r>
        <w:rPr>
          <w:rStyle w:val="11"/>
          <w:rFonts w:hint="eastAsia" w:ascii="宋体" w:hAnsi="宋体" w:eastAsia="宋体" w:cs="宋体"/>
          <w:color w:val="auto"/>
          <w:sz w:val="24"/>
          <w:szCs w:val="24"/>
          <w:highlight w:val="none"/>
          <w:lang w:val="en-US" w:eastAsia="zh-CN"/>
        </w:rPr>
        <w:t>9.7其他责任：</w:t>
      </w:r>
    </w:p>
    <w:p w14:paraId="512F36A4">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80" w:firstLineChars="200"/>
        <w:textAlignment w:val="auto"/>
        <w:rPr>
          <w:rStyle w:val="11"/>
          <w:rFonts w:hint="default" w:ascii="宋体" w:hAnsi="宋体" w:eastAsia="宋体" w:cs="宋体"/>
          <w:color w:val="auto"/>
          <w:sz w:val="24"/>
          <w:szCs w:val="24"/>
          <w:highlight w:val="none"/>
          <w:lang w:val="en-US" w:eastAsia="zh-CN"/>
        </w:rPr>
      </w:pPr>
      <w:r>
        <w:rPr>
          <w:rStyle w:val="11"/>
          <w:rFonts w:hint="eastAsia" w:ascii="宋体" w:hAnsi="宋体" w:eastAsia="宋体" w:cs="宋体"/>
          <w:color w:val="auto"/>
          <w:sz w:val="24"/>
          <w:szCs w:val="24"/>
          <w:highlight w:val="none"/>
          <w:lang w:val="en-US" w:eastAsia="zh-CN"/>
        </w:rPr>
        <w:t>（1）卖方</w:t>
      </w:r>
      <w:r>
        <w:rPr>
          <w:rStyle w:val="11"/>
          <w:rFonts w:hint="default" w:ascii="宋体" w:hAnsi="宋体" w:eastAsia="宋体" w:cs="宋体"/>
          <w:color w:val="auto"/>
          <w:sz w:val="24"/>
          <w:szCs w:val="24"/>
          <w:highlight w:val="none"/>
          <w:lang w:val="en-US" w:eastAsia="zh-CN"/>
        </w:rPr>
        <w:t>所提供的服务如不符合招投标文件要求，应及时更换，更换不及时的按逾期交货处罚</w:t>
      </w:r>
      <w:r>
        <w:rPr>
          <w:rStyle w:val="11"/>
          <w:rFonts w:hint="eastAsia" w:ascii="宋体" w:hAnsi="宋体" w:eastAsia="宋体" w:cs="宋体"/>
          <w:color w:val="auto"/>
          <w:sz w:val="24"/>
          <w:szCs w:val="24"/>
          <w:highlight w:val="none"/>
          <w:lang w:val="en-US" w:eastAsia="zh-CN"/>
        </w:rPr>
        <w:t>；</w:t>
      </w:r>
      <w:r>
        <w:rPr>
          <w:rStyle w:val="11"/>
          <w:rFonts w:hint="default" w:ascii="宋体" w:hAnsi="宋体" w:eastAsia="宋体" w:cs="宋体"/>
          <w:color w:val="auto"/>
          <w:sz w:val="24"/>
          <w:szCs w:val="24"/>
          <w:highlight w:val="none"/>
          <w:lang w:val="en-US" w:eastAsia="zh-CN"/>
        </w:rPr>
        <w:t>因质量问题</w:t>
      </w:r>
      <w:r>
        <w:rPr>
          <w:rStyle w:val="11"/>
          <w:rFonts w:hint="eastAsia" w:ascii="宋体" w:hAnsi="宋体" w:eastAsia="宋体" w:cs="宋体"/>
          <w:color w:val="auto"/>
          <w:sz w:val="24"/>
          <w:szCs w:val="24"/>
          <w:highlight w:val="none"/>
          <w:lang w:val="en-US" w:eastAsia="zh-CN"/>
        </w:rPr>
        <w:t>买方</w:t>
      </w:r>
      <w:r>
        <w:rPr>
          <w:rStyle w:val="11"/>
          <w:rFonts w:hint="default" w:ascii="宋体" w:hAnsi="宋体" w:eastAsia="宋体" w:cs="宋体"/>
          <w:color w:val="auto"/>
          <w:sz w:val="24"/>
          <w:szCs w:val="24"/>
          <w:highlight w:val="none"/>
          <w:lang w:val="en-US" w:eastAsia="zh-CN"/>
        </w:rPr>
        <w:t>不同意接收的或特殊情况</w:t>
      </w:r>
      <w:r>
        <w:rPr>
          <w:rStyle w:val="11"/>
          <w:rFonts w:hint="eastAsia" w:ascii="宋体" w:hAnsi="宋体" w:eastAsia="宋体" w:cs="宋体"/>
          <w:color w:val="auto"/>
          <w:sz w:val="24"/>
          <w:szCs w:val="24"/>
          <w:highlight w:val="none"/>
          <w:lang w:val="en-US" w:eastAsia="zh-CN"/>
        </w:rPr>
        <w:t>买方</w:t>
      </w:r>
      <w:r>
        <w:rPr>
          <w:rStyle w:val="11"/>
          <w:rFonts w:hint="default" w:ascii="宋体" w:hAnsi="宋体" w:eastAsia="宋体" w:cs="宋体"/>
          <w:color w:val="auto"/>
          <w:sz w:val="24"/>
          <w:szCs w:val="24"/>
          <w:highlight w:val="none"/>
          <w:lang w:val="en-US" w:eastAsia="zh-CN"/>
        </w:rPr>
        <w:t>同意接收的，</w:t>
      </w:r>
      <w:r>
        <w:rPr>
          <w:rStyle w:val="11"/>
          <w:rFonts w:hint="eastAsia" w:ascii="宋体" w:hAnsi="宋体" w:eastAsia="宋体" w:cs="宋体"/>
          <w:color w:val="auto"/>
          <w:sz w:val="24"/>
          <w:szCs w:val="24"/>
          <w:highlight w:val="none"/>
          <w:lang w:val="en-US" w:eastAsia="zh-CN"/>
        </w:rPr>
        <w:t>卖方</w:t>
      </w:r>
      <w:r>
        <w:rPr>
          <w:rStyle w:val="11"/>
          <w:rFonts w:hint="default" w:ascii="宋体" w:hAnsi="宋体" w:eastAsia="宋体" w:cs="宋体"/>
          <w:color w:val="auto"/>
          <w:sz w:val="24"/>
          <w:szCs w:val="24"/>
          <w:highlight w:val="none"/>
          <w:lang w:val="en-US" w:eastAsia="zh-CN"/>
        </w:rPr>
        <w:t>应向</w:t>
      </w:r>
      <w:r>
        <w:rPr>
          <w:rStyle w:val="11"/>
          <w:rFonts w:hint="eastAsia" w:ascii="宋体" w:hAnsi="宋体" w:eastAsia="宋体" w:cs="宋体"/>
          <w:color w:val="auto"/>
          <w:sz w:val="24"/>
          <w:szCs w:val="24"/>
          <w:highlight w:val="none"/>
          <w:lang w:val="en-US" w:eastAsia="zh-CN"/>
        </w:rPr>
        <w:t>买方</w:t>
      </w:r>
      <w:r>
        <w:rPr>
          <w:rStyle w:val="11"/>
          <w:rFonts w:hint="default" w:ascii="宋体" w:hAnsi="宋体" w:eastAsia="宋体" w:cs="宋体"/>
          <w:color w:val="auto"/>
          <w:sz w:val="24"/>
          <w:szCs w:val="24"/>
          <w:highlight w:val="none"/>
          <w:lang w:val="en-US" w:eastAsia="zh-CN"/>
        </w:rPr>
        <w:t>支付违约货款额5%违约金并赔偿</w:t>
      </w:r>
      <w:r>
        <w:rPr>
          <w:rStyle w:val="11"/>
          <w:rFonts w:hint="eastAsia" w:ascii="宋体" w:hAnsi="宋体" w:eastAsia="宋体" w:cs="宋体"/>
          <w:color w:val="auto"/>
          <w:sz w:val="24"/>
          <w:szCs w:val="24"/>
          <w:highlight w:val="none"/>
          <w:lang w:val="en-US" w:eastAsia="zh-CN"/>
        </w:rPr>
        <w:t>买方</w:t>
      </w:r>
      <w:r>
        <w:rPr>
          <w:rStyle w:val="11"/>
          <w:rFonts w:hint="default" w:ascii="宋体" w:hAnsi="宋体" w:eastAsia="宋体" w:cs="宋体"/>
          <w:color w:val="auto"/>
          <w:sz w:val="24"/>
          <w:szCs w:val="24"/>
          <w:highlight w:val="none"/>
          <w:lang w:val="en-US" w:eastAsia="zh-CN"/>
        </w:rPr>
        <w:t>经济损失。</w:t>
      </w:r>
    </w:p>
    <w:p w14:paraId="7E8F6FDD">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80" w:firstLineChars="200"/>
        <w:textAlignment w:val="auto"/>
        <w:rPr>
          <w:rStyle w:val="11"/>
          <w:rFonts w:hint="default" w:ascii="宋体" w:hAnsi="宋体" w:eastAsia="宋体" w:cs="宋体"/>
          <w:color w:val="auto"/>
          <w:sz w:val="24"/>
          <w:szCs w:val="24"/>
          <w:highlight w:val="none"/>
          <w:lang w:val="en-US" w:eastAsia="zh-CN"/>
        </w:rPr>
      </w:pPr>
      <w:r>
        <w:rPr>
          <w:rStyle w:val="11"/>
          <w:rFonts w:hint="eastAsia" w:ascii="宋体" w:hAnsi="宋体" w:eastAsia="宋体" w:cs="宋体"/>
          <w:color w:val="auto"/>
          <w:sz w:val="24"/>
          <w:szCs w:val="24"/>
          <w:highlight w:val="none"/>
          <w:lang w:val="en-US" w:eastAsia="zh-CN"/>
        </w:rPr>
        <w:t>（2）卖方</w:t>
      </w:r>
      <w:r>
        <w:rPr>
          <w:rStyle w:val="11"/>
          <w:rFonts w:hint="default" w:ascii="宋体" w:hAnsi="宋体" w:eastAsia="宋体" w:cs="宋体"/>
          <w:color w:val="auto"/>
          <w:sz w:val="24"/>
          <w:szCs w:val="24"/>
          <w:highlight w:val="none"/>
          <w:lang w:val="en-US" w:eastAsia="zh-CN"/>
        </w:rPr>
        <w:t>提供的货物如侵犯第三方合法权益而引发的任何纠纷或诉讼，均由</w:t>
      </w:r>
      <w:r>
        <w:rPr>
          <w:rStyle w:val="11"/>
          <w:rFonts w:hint="eastAsia" w:ascii="宋体" w:hAnsi="宋体" w:eastAsia="宋体" w:cs="宋体"/>
          <w:color w:val="auto"/>
          <w:sz w:val="24"/>
          <w:szCs w:val="24"/>
          <w:highlight w:val="none"/>
          <w:lang w:val="en-US" w:eastAsia="zh-CN"/>
        </w:rPr>
        <w:t>卖方</w:t>
      </w:r>
      <w:r>
        <w:rPr>
          <w:rStyle w:val="11"/>
          <w:rFonts w:hint="default" w:ascii="宋体" w:hAnsi="宋体" w:eastAsia="宋体" w:cs="宋体"/>
          <w:color w:val="auto"/>
          <w:sz w:val="24"/>
          <w:szCs w:val="24"/>
          <w:highlight w:val="none"/>
          <w:lang w:val="en-US" w:eastAsia="zh-CN"/>
        </w:rPr>
        <w:t>负责交涉并承担全部责任。</w:t>
      </w:r>
    </w:p>
    <w:p w14:paraId="57BE6AB7">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80" w:firstLineChars="200"/>
        <w:textAlignment w:val="auto"/>
        <w:rPr>
          <w:rStyle w:val="11"/>
          <w:rFonts w:hint="default" w:ascii="宋体" w:hAnsi="宋体" w:eastAsia="宋体" w:cs="宋体"/>
          <w:color w:val="auto"/>
          <w:sz w:val="24"/>
          <w:szCs w:val="24"/>
          <w:highlight w:val="none"/>
          <w:lang w:val="en-US" w:eastAsia="zh-CN"/>
        </w:rPr>
      </w:pPr>
      <w:r>
        <w:rPr>
          <w:rStyle w:val="11"/>
          <w:rFonts w:hint="eastAsia" w:ascii="宋体" w:hAnsi="宋体" w:eastAsia="宋体" w:cs="宋体"/>
          <w:color w:val="auto"/>
          <w:sz w:val="24"/>
          <w:szCs w:val="24"/>
          <w:highlight w:val="none"/>
          <w:lang w:val="en-US" w:eastAsia="zh-CN"/>
        </w:rPr>
        <w:t>（3）卖方</w:t>
      </w:r>
      <w:r>
        <w:rPr>
          <w:rStyle w:val="11"/>
          <w:rFonts w:hint="default" w:ascii="宋体" w:hAnsi="宋体" w:eastAsia="宋体" w:cs="宋体"/>
          <w:color w:val="auto"/>
          <w:sz w:val="24"/>
          <w:szCs w:val="24"/>
          <w:highlight w:val="none"/>
          <w:lang w:val="en-US" w:eastAsia="zh-CN"/>
        </w:rPr>
        <w:t>未按本合同和投标文件中规定的服务承诺提供售后服务的，</w:t>
      </w:r>
      <w:r>
        <w:rPr>
          <w:rStyle w:val="11"/>
          <w:rFonts w:hint="eastAsia" w:ascii="宋体" w:hAnsi="宋体" w:eastAsia="宋体" w:cs="宋体"/>
          <w:color w:val="auto"/>
          <w:sz w:val="24"/>
          <w:szCs w:val="24"/>
          <w:highlight w:val="none"/>
          <w:lang w:val="en-US" w:eastAsia="zh-CN"/>
        </w:rPr>
        <w:t>卖方</w:t>
      </w:r>
      <w:r>
        <w:rPr>
          <w:rStyle w:val="11"/>
          <w:rFonts w:hint="default" w:ascii="宋体" w:hAnsi="宋体" w:eastAsia="宋体" w:cs="宋体"/>
          <w:color w:val="auto"/>
          <w:sz w:val="24"/>
          <w:szCs w:val="24"/>
          <w:highlight w:val="none"/>
          <w:lang w:val="en-US" w:eastAsia="zh-CN"/>
        </w:rPr>
        <w:t>应按本合同合计金额5%向</w:t>
      </w:r>
      <w:r>
        <w:rPr>
          <w:rStyle w:val="11"/>
          <w:rFonts w:hint="eastAsia" w:ascii="宋体" w:hAnsi="宋体" w:eastAsia="宋体" w:cs="宋体"/>
          <w:color w:val="auto"/>
          <w:sz w:val="24"/>
          <w:szCs w:val="24"/>
          <w:highlight w:val="none"/>
          <w:lang w:val="en-US" w:eastAsia="zh-CN"/>
        </w:rPr>
        <w:t>买方</w:t>
      </w:r>
      <w:r>
        <w:rPr>
          <w:rStyle w:val="11"/>
          <w:rFonts w:hint="default" w:ascii="宋体" w:hAnsi="宋体" w:eastAsia="宋体" w:cs="宋体"/>
          <w:color w:val="auto"/>
          <w:sz w:val="24"/>
          <w:szCs w:val="24"/>
          <w:highlight w:val="none"/>
          <w:lang w:val="en-US" w:eastAsia="zh-CN"/>
        </w:rPr>
        <w:t>支付违约金。</w:t>
      </w:r>
    </w:p>
    <w:p w14:paraId="12BE917B">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80" w:firstLineChars="200"/>
        <w:textAlignment w:val="auto"/>
        <w:rPr>
          <w:rStyle w:val="11"/>
          <w:rFonts w:hint="default" w:ascii="宋体" w:hAnsi="宋体" w:eastAsia="宋体" w:cs="宋体"/>
          <w:color w:val="auto"/>
          <w:sz w:val="24"/>
          <w:szCs w:val="24"/>
          <w:highlight w:val="none"/>
          <w:lang w:val="en-US" w:eastAsia="zh-CN"/>
        </w:rPr>
      </w:pPr>
      <w:r>
        <w:rPr>
          <w:rStyle w:val="11"/>
          <w:rFonts w:hint="eastAsia" w:ascii="宋体" w:hAnsi="宋体" w:eastAsia="宋体" w:cs="宋体"/>
          <w:color w:val="auto"/>
          <w:sz w:val="24"/>
          <w:szCs w:val="24"/>
          <w:highlight w:val="none"/>
          <w:lang w:val="en-US" w:eastAsia="zh-CN"/>
        </w:rPr>
        <w:t>（4）卖方</w:t>
      </w:r>
      <w:r>
        <w:rPr>
          <w:rStyle w:val="11"/>
          <w:rFonts w:hint="default" w:ascii="宋体" w:hAnsi="宋体" w:eastAsia="宋体" w:cs="宋体"/>
          <w:color w:val="auto"/>
          <w:sz w:val="24"/>
          <w:szCs w:val="24"/>
          <w:highlight w:val="none"/>
          <w:lang w:val="en-US" w:eastAsia="zh-CN"/>
        </w:rPr>
        <w:t>提供的服务在质量保证期内，因设计、录制的缺陷和其他其他质量原因造成的问题，由</w:t>
      </w:r>
      <w:r>
        <w:rPr>
          <w:rStyle w:val="11"/>
          <w:rFonts w:hint="eastAsia" w:ascii="宋体" w:hAnsi="宋体" w:eastAsia="宋体" w:cs="宋体"/>
          <w:color w:val="auto"/>
          <w:sz w:val="24"/>
          <w:szCs w:val="24"/>
          <w:highlight w:val="none"/>
          <w:lang w:val="en-US" w:eastAsia="zh-CN"/>
        </w:rPr>
        <w:t>卖方</w:t>
      </w:r>
      <w:r>
        <w:rPr>
          <w:rStyle w:val="11"/>
          <w:rFonts w:hint="default" w:ascii="宋体" w:hAnsi="宋体" w:eastAsia="宋体" w:cs="宋体"/>
          <w:color w:val="auto"/>
          <w:sz w:val="24"/>
          <w:szCs w:val="24"/>
          <w:highlight w:val="none"/>
          <w:lang w:val="en-US" w:eastAsia="zh-CN"/>
        </w:rPr>
        <w:t>负责</w:t>
      </w:r>
      <w:r>
        <w:rPr>
          <w:rStyle w:val="11"/>
          <w:rFonts w:hint="eastAsia" w:ascii="宋体" w:hAnsi="宋体" w:eastAsia="宋体" w:cs="宋体"/>
          <w:color w:val="auto"/>
          <w:sz w:val="24"/>
          <w:szCs w:val="24"/>
          <w:highlight w:val="none"/>
          <w:lang w:val="en-US" w:eastAsia="zh-CN"/>
        </w:rPr>
        <w:t>。</w:t>
      </w:r>
    </w:p>
    <w:p w14:paraId="481F1AF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10.违约终止合同</w:t>
      </w:r>
    </w:p>
    <w:p w14:paraId="2120BE79">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10.1在卖方违约的情况下，买方报告政府采购管理部门后，有权终止合同，并依法向卖方进行索赔。</w:t>
      </w:r>
    </w:p>
    <w:p w14:paraId="360C1054">
      <w:pPr>
        <w:pStyle w:val="13"/>
        <w:pageBreakBefore w:val="0"/>
        <w:widowControl w:val="0"/>
        <w:tabs>
          <w:tab w:val="left" w:pos="720"/>
        </w:tabs>
        <w:kinsoku/>
        <w:wordWrap/>
        <w:overflowPunct/>
        <w:topLinePunct w:val="0"/>
        <w:autoSpaceDE/>
        <w:autoSpaceDN/>
        <w:bidi w:val="0"/>
        <w:adjustRightInd/>
        <w:snapToGrid/>
        <w:spacing w:before="0" w:after="0" w:line="360" w:lineRule="auto"/>
        <w:textAlignment w:val="auto"/>
        <w:rPr>
          <w:rStyle w:val="11"/>
          <w:rFonts w:hint="eastAsia" w:ascii="宋体" w:hAnsi="宋体" w:eastAsia="宋体" w:cs="宋体"/>
          <w:color w:val="auto"/>
          <w:sz w:val="24"/>
          <w:szCs w:val="24"/>
          <w:highlight w:val="none"/>
        </w:rPr>
      </w:pPr>
      <w:r>
        <w:rPr>
          <w:rStyle w:val="11"/>
          <w:rFonts w:hint="eastAsia" w:ascii="宋体" w:hAnsi="宋体" w:eastAsia="宋体" w:cs="宋体"/>
          <w:color w:val="auto"/>
          <w:sz w:val="24"/>
          <w:szCs w:val="24"/>
          <w:highlight w:val="none"/>
        </w:rPr>
        <w:t>12.争议的解决</w:t>
      </w:r>
    </w:p>
    <w:p w14:paraId="10481338">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80" w:firstLineChars="200"/>
        <w:textAlignment w:val="auto"/>
        <w:rPr>
          <w:rStyle w:val="11"/>
          <w:rFonts w:hint="eastAsia" w:ascii="宋体" w:hAnsi="宋体" w:eastAsia="宋体" w:cs="宋体"/>
          <w:color w:val="auto"/>
          <w:sz w:val="24"/>
          <w:szCs w:val="24"/>
          <w:highlight w:val="none"/>
        </w:rPr>
      </w:pPr>
      <w:r>
        <w:rPr>
          <w:rStyle w:val="11"/>
          <w:rFonts w:hint="eastAsia" w:ascii="宋体" w:hAnsi="宋体" w:eastAsia="宋体" w:cs="宋体"/>
          <w:color w:val="auto"/>
          <w:sz w:val="24"/>
          <w:szCs w:val="24"/>
          <w:highlight w:val="none"/>
        </w:rPr>
        <w:t>12.1因执行本合同所发生的或与本合同有关的一切争议,双方应通过友好协商解决。如果协商开始后六十（60）天还不能解决，任何一方均可按中华人民共和国有关法律的规定提交仲裁。仲裁地点见“合同专用条款”。</w:t>
      </w:r>
    </w:p>
    <w:p w14:paraId="26CA67D8">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80" w:firstLineChars="200"/>
        <w:textAlignment w:val="auto"/>
        <w:rPr>
          <w:rStyle w:val="11"/>
          <w:rFonts w:hint="eastAsia" w:ascii="宋体" w:hAnsi="宋体" w:eastAsia="宋体" w:cs="宋体"/>
          <w:color w:val="auto"/>
          <w:sz w:val="24"/>
          <w:szCs w:val="24"/>
          <w:highlight w:val="none"/>
        </w:rPr>
      </w:pPr>
      <w:r>
        <w:rPr>
          <w:rStyle w:val="11"/>
          <w:rFonts w:hint="eastAsia" w:ascii="宋体" w:hAnsi="宋体" w:eastAsia="宋体" w:cs="宋体"/>
          <w:color w:val="auto"/>
          <w:sz w:val="24"/>
          <w:szCs w:val="24"/>
          <w:highlight w:val="none"/>
        </w:rPr>
        <w:t>12.2仲裁裁决应为最终裁决，对双方均具有约束力。</w:t>
      </w:r>
    </w:p>
    <w:p w14:paraId="728B9D56">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80" w:firstLineChars="200"/>
        <w:textAlignment w:val="auto"/>
        <w:rPr>
          <w:rStyle w:val="11"/>
          <w:rFonts w:hint="eastAsia" w:ascii="宋体" w:hAnsi="宋体" w:eastAsia="宋体" w:cs="宋体"/>
          <w:color w:val="auto"/>
          <w:sz w:val="24"/>
          <w:szCs w:val="24"/>
          <w:highlight w:val="none"/>
        </w:rPr>
      </w:pPr>
      <w:r>
        <w:rPr>
          <w:rStyle w:val="11"/>
          <w:rFonts w:hint="eastAsia" w:ascii="宋体" w:hAnsi="宋体" w:eastAsia="宋体" w:cs="宋体"/>
          <w:color w:val="auto"/>
          <w:sz w:val="24"/>
          <w:szCs w:val="24"/>
          <w:highlight w:val="none"/>
        </w:rPr>
        <w:t>12.3仲裁费除仲裁机关另有裁决外均应由败诉方负担。</w:t>
      </w:r>
    </w:p>
    <w:p w14:paraId="63941773">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color w:val="auto"/>
          <w:sz w:val="24"/>
          <w:szCs w:val="24"/>
          <w:highlight w:val="none"/>
        </w:rPr>
      </w:pPr>
      <w:r>
        <w:rPr>
          <w:rStyle w:val="11"/>
          <w:rFonts w:hint="eastAsia" w:ascii="宋体" w:hAnsi="宋体" w:eastAsia="宋体" w:cs="宋体"/>
          <w:color w:val="auto"/>
          <w:sz w:val="24"/>
          <w:szCs w:val="24"/>
          <w:highlight w:val="none"/>
        </w:rPr>
        <w:t>12.4在仲裁期间，除正在进行仲裁的部分外，本合同其它部分应继续执行。</w:t>
      </w:r>
    </w:p>
    <w:p w14:paraId="18F21F6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13.适用法律</w:t>
      </w:r>
    </w:p>
    <w:p w14:paraId="532DD7E3">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13.1本合同应按照中华人民共和国的现行法律进行解释。</w:t>
      </w:r>
    </w:p>
    <w:p w14:paraId="4CB8163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14.合同生效及其它</w:t>
      </w:r>
    </w:p>
    <w:p w14:paraId="5B06DC0B">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14.1本合同在买卖双方签字、盖章之后生效。</w:t>
      </w:r>
    </w:p>
    <w:p w14:paraId="3F7695C0">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14.2本合同正本一式二份，副本一式四份，均以中文书写。买方执正本一份、副本二份；卖方执正本一份，副本一份；政府采购管理部门备案副本一份。</w:t>
      </w:r>
    </w:p>
    <w:p w14:paraId="11E2F33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15.合同修改</w:t>
      </w:r>
    </w:p>
    <w:p w14:paraId="647011B0">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15.1本合同在执行过程中，如提出修改，须报政府采购管理部门同意后，由买、卖双方签署书面修改协议，并成为本合同不可分割的一部分。除此之外，本合同的条件不得有任何变化或修改。</w:t>
      </w:r>
    </w:p>
    <w:p w14:paraId="6008794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16.合同附件</w:t>
      </w:r>
    </w:p>
    <w:p w14:paraId="02DDF34D">
      <w:pPr>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highlight w:val="none"/>
        </w:rPr>
      </w:pPr>
      <w:r>
        <w:rPr>
          <w:rFonts w:hint="eastAsia" w:ascii="宋体" w:hAnsi="宋体" w:eastAsia="宋体" w:cs="宋体"/>
          <w:color w:val="auto"/>
          <w:sz w:val="24"/>
          <w:szCs w:val="24"/>
          <w:highlight w:val="none"/>
        </w:rPr>
        <w:t>16.1本合同所有附件是本合同不可分割的部分,与主合同具有同等法律效力。</w:t>
      </w:r>
    </w:p>
    <w:p w14:paraId="29E2E416">
      <w:pPr>
        <w:keepNext w:val="0"/>
        <w:keepLines w:val="0"/>
        <w:pageBreakBefore w:val="0"/>
        <w:widowControl w:val="0"/>
        <w:kinsoku/>
        <w:wordWrap/>
        <w:overflowPunct/>
        <w:topLinePunct w:val="0"/>
        <w:autoSpaceDE/>
        <w:autoSpaceDN/>
        <w:bidi w:val="0"/>
        <w:adjustRightInd/>
        <w:snapToGrid/>
        <w:jc w:val="center"/>
        <w:textAlignment w:val="auto"/>
        <w:outlineLvl w:val="9"/>
        <w:rPr>
          <w:rStyle w:val="14"/>
          <w:rFonts w:hint="eastAsia" w:ascii="宋体" w:hAnsi="宋体" w:cs="宋体"/>
          <w:b/>
          <w:bCs/>
          <w:color w:val="auto"/>
          <w:kern w:val="0"/>
          <w:sz w:val="36"/>
          <w:szCs w:val="36"/>
          <w:highlight w:val="none"/>
        </w:rPr>
      </w:pPr>
      <w:r>
        <w:rPr>
          <w:rFonts w:hint="eastAsia" w:ascii="宋体" w:hAnsi="宋体"/>
          <w:b/>
          <w:color w:val="auto"/>
          <w:sz w:val="36"/>
          <w:highlight w:val="none"/>
        </w:rPr>
        <w:br w:type="page"/>
      </w:r>
      <w:bookmarkStart w:id="0" w:name="_Toc3785"/>
      <w:bookmarkStart w:id="1" w:name="_Toc18695"/>
      <w:bookmarkStart w:id="2" w:name="_Toc27467"/>
      <w:r>
        <w:rPr>
          <w:rStyle w:val="14"/>
          <w:rFonts w:hint="eastAsia" w:ascii="宋体" w:hAnsi="宋体" w:cs="宋体"/>
          <w:b/>
          <w:bCs/>
          <w:color w:val="auto"/>
          <w:kern w:val="0"/>
          <w:sz w:val="32"/>
          <w:szCs w:val="32"/>
          <w:highlight w:val="none"/>
        </w:rPr>
        <w:t>合同专用条款</w:t>
      </w:r>
      <w:bookmarkEnd w:id="0"/>
    </w:p>
    <w:bookmarkEnd w:id="1"/>
    <w:bookmarkEnd w:id="2"/>
    <w:p w14:paraId="01E15855">
      <w:pPr>
        <w:keepNext w:val="0"/>
        <w:keepLines w:val="0"/>
        <w:pageBreakBefore w:val="0"/>
        <w:widowControl w:val="0"/>
        <w:kinsoku/>
        <w:wordWrap/>
        <w:overflowPunct/>
        <w:topLinePunct w:val="0"/>
        <w:autoSpaceDE/>
        <w:autoSpaceDN/>
        <w:bidi w:val="0"/>
        <w:adjustRightInd/>
        <w:snapToGrid/>
        <w:textAlignment w:val="auto"/>
        <w:outlineLvl w:val="9"/>
        <w:rPr>
          <w:rFonts w:hint="eastAsia"/>
          <w:color w:val="auto"/>
          <w:highlight w:val="none"/>
        </w:rPr>
      </w:pPr>
    </w:p>
    <w:p w14:paraId="2C27E137">
      <w:pPr>
        <w:ind w:firstLine="480" w:firstLineChars="200"/>
        <w:rPr>
          <w:rFonts w:hint="eastAsia"/>
          <w:color w:val="auto"/>
          <w:sz w:val="24"/>
          <w:szCs w:val="24"/>
          <w:highlight w:val="none"/>
        </w:rPr>
      </w:pPr>
      <w:r>
        <w:rPr>
          <w:rFonts w:hint="eastAsia"/>
          <w:color w:val="auto"/>
          <w:sz w:val="24"/>
          <w:szCs w:val="24"/>
          <w:highlight w:val="none"/>
        </w:rPr>
        <w:t>本表是对《合同通用条款》的具体补充和修改，如有矛盾，应以本表为准。</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517"/>
        <w:gridCol w:w="6833"/>
      </w:tblGrid>
      <w:tr w14:paraId="71536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908" w:type="pct"/>
            <w:tcBorders>
              <w:tl2br w:val="nil"/>
              <w:tr2bl w:val="nil"/>
            </w:tcBorders>
            <w:noWrap/>
            <w:vAlign w:val="center"/>
          </w:tcPr>
          <w:p w14:paraId="3EA9486C">
            <w:pPr>
              <w:jc w:val="center"/>
              <w:rPr>
                <w:rFonts w:ascii="宋体" w:hAnsi="宋体" w:cs="宋体"/>
                <w:color w:val="auto"/>
                <w:sz w:val="24"/>
                <w:szCs w:val="24"/>
                <w:highlight w:val="none"/>
              </w:rPr>
            </w:pPr>
            <w:r>
              <w:rPr>
                <w:rFonts w:hint="eastAsia" w:ascii="宋体" w:hAnsi="宋体" w:cs="宋体"/>
                <w:color w:val="auto"/>
                <w:sz w:val="24"/>
                <w:szCs w:val="24"/>
                <w:highlight w:val="none"/>
              </w:rPr>
              <w:t>条款号</w:t>
            </w:r>
          </w:p>
        </w:tc>
        <w:tc>
          <w:tcPr>
            <w:tcW w:w="4091" w:type="pct"/>
            <w:tcBorders>
              <w:tl2br w:val="nil"/>
              <w:tr2bl w:val="nil"/>
            </w:tcBorders>
            <w:noWrap/>
            <w:vAlign w:val="center"/>
          </w:tcPr>
          <w:p w14:paraId="09080DAD">
            <w:pPr>
              <w:jc w:val="center"/>
              <w:rPr>
                <w:rFonts w:ascii="宋体" w:hAnsi="宋体" w:cs="宋体"/>
                <w:b/>
                <w:color w:val="auto"/>
                <w:sz w:val="24"/>
                <w:szCs w:val="24"/>
                <w:highlight w:val="none"/>
              </w:rPr>
            </w:pPr>
            <w:r>
              <w:rPr>
                <w:rFonts w:hint="eastAsia" w:ascii="宋体" w:hAnsi="宋体" w:cs="宋体"/>
                <w:b/>
                <w:color w:val="auto"/>
                <w:sz w:val="24"/>
                <w:szCs w:val="24"/>
                <w:highlight w:val="none"/>
              </w:rPr>
              <w:t>内      容</w:t>
            </w:r>
          </w:p>
        </w:tc>
      </w:tr>
      <w:tr w14:paraId="7456B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40" w:hRule="atLeast"/>
        </w:trPr>
        <w:tc>
          <w:tcPr>
            <w:tcW w:w="908" w:type="pct"/>
            <w:tcBorders>
              <w:tl2br w:val="nil"/>
              <w:tr2bl w:val="nil"/>
            </w:tcBorders>
            <w:noWrap/>
            <w:vAlign w:val="center"/>
          </w:tcPr>
          <w:p w14:paraId="13023975">
            <w:pPr>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4091" w:type="pct"/>
            <w:tcBorders>
              <w:tl2br w:val="nil"/>
              <w:tr2bl w:val="nil"/>
            </w:tcBorders>
            <w:noWrap/>
            <w:vAlign w:val="center"/>
          </w:tcPr>
          <w:p w14:paraId="2A59760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color w:val="auto"/>
                <w:sz w:val="24"/>
                <w:highlight w:val="none"/>
              </w:rPr>
            </w:pPr>
            <w:r>
              <w:rPr>
                <w:rFonts w:hint="eastAsia"/>
                <w:color w:val="auto"/>
                <w:sz w:val="24"/>
                <w:highlight w:val="none"/>
              </w:rPr>
              <w:t>买方名称：西安市体育训练中心（西安市人民体育场）</w:t>
            </w:r>
          </w:p>
          <w:p w14:paraId="78779C0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color w:val="auto"/>
                <w:sz w:val="24"/>
                <w:highlight w:val="none"/>
              </w:rPr>
            </w:pPr>
            <w:r>
              <w:rPr>
                <w:rFonts w:hint="eastAsia"/>
                <w:color w:val="auto"/>
                <w:sz w:val="24"/>
                <w:highlight w:val="none"/>
              </w:rPr>
              <w:t>地址：西安市国际港务区港务西路西安市体育训练中心</w:t>
            </w:r>
          </w:p>
        </w:tc>
      </w:tr>
      <w:tr w14:paraId="161AC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40" w:hRule="atLeast"/>
        </w:trPr>
        <w:tc>
          <w:tcPr>
            <w:tcW w:w="908" w:type="pct"/>
            <w:tcBorders>
              <w:tl2br w:val="nil"/>
              <w:tr2bl w:val="nil"/>
            </w:tcBorders>
            <w:noWrap/>
            <w:vAlign w:val="center"/>
          </w:tcPr>
          <w:p w14:paraId="6FF1125E">
            <w:pPr>
              <w:jc w:val="center"/>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w:t>
            </w:r>
          </w:p>
        </w:tc>
        <w:tc>
          <w:tcPr>
            <w:tcW w:w="4091" w:type="pct"/>
            <w:tcBorders>
              <w:tl2br w:val="nil"/>
              <w:tr2bl w:val="nil"/>
            </w:tcBorders>
            <w:noWrap/>
            <w:vAlign w:val="center"/>
          </w:tcPr>
          <w:p w14:paraId="7DF8745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eastAsia="宋体"/>
                <w:color w:val="auto"/>
                <w:sz w:val="24"/>
                <w:highlight w:val="none"/>
                <w:lang w:eastAsia="zh-CN"/>
              </w:rPr>
            </w:pPr>
            <w:r>
              <w:rPr>
                <w:rFonts w:hint="eastAsia"/>
                <w:color w:val="auto"/>
                <w:sz w:val="24"/>
                <w:highlight w:val="none"/>
                <w:lang w:eastAsia="zh-CN"/>
              </w:rPr>
              <w:t>服务要求：具体内容详见本项目磋商文件</w:t>
            </w:r>
            <w:r>
              <w:rPr>
                <w:rFonts w:hint="eastAsia"/>
                <w:b/>
                <w:bCs/>
                <w:color w:val="auto"/>
                <w:sz w:val="24"/>
                <w:highlight w:val="none"/>
                <w:lang w:eastAsia="zh-CN"/>
              </w:rPr>
              <w:t>“第三章</w:t>
            </w:r>
            <w:r>
              <w:rPr>
                <w:rFonts w:hint="eastAsia"/>
                <w:b/>
                <w:bCs/>
                <w:color w:val="auto"/>
                <w:sz w:val="24"/>
                <w:highlight w:val="none"/>
                <w:lang w:val="en-US" w:eastAsia="zh-CN"/>
              </w:rPr>
              <w:t xml:space="preserve"> 磋商项目技术、服务、商务及其他要求</w:t>
            </w:r>
            <w:r>
              <w:rPr>
                <w:rFonts w:hint="eastAsia"/>
                <w:b/>
                <w:bCs/>
                <w:color w:val="auto"/>
                <w:sz w:val="24"/>
                <w:highlight w:val="none"/>
                <w:lang w:eastAsia="zh-CN"/>
              </w:rPr>
              <w:t>”</w:t>
            </w:r>
          </w:p>
        </w:tc>
      </w:tr>
      <w:tr w14:paraId="7F0C4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40" w:hRule="atLeast"/>
        </w:trPr>
        <w:tc>
          <w:tcPr>
            <w:tcW w:w="908" w:type="pct"/>
            <w:tcBorders>
              <w:tl2br w:val="nil"/>
              <w:tr2bl w:val="nil"/>
            </w:tcBorders>
            <w:noWrap/>
            <w:vAlign w:val="center"/>
          </w:tcPr>
          <w:p w14:paraId="38FF9AB2">
            <w:pPr>
              <w:jc w:val="center"/>
              <w:rPr>
                <w:rFonts w:ascii="宋体" w:hAnsi="宋体" w:cs="宋体"/>
                <w:color w:val="auto"/>
                <w:sz w:val="24"/>
                <w:szCs w:val="24"/>
                <w:highlight w:val="none"/>
              </w:rPr>
            </w:pPr>
            <w:r>
              <w:rPr>
                <w:rFonts w:hint="eastAsia" w:ascii="宋体" w:hAnsi="宋体" w:cs="宋体"/>
                <w:color w:val="auto"/>
                <w:sz w:val="24"/>
                <w:szCs w:val="24"/>
                <w:highlight w:val="none"/>
              </w:rPr>
              <w:t>4</w:t>
            </w:r>
          </w:p>
        </w:tc>
        <w:tc>
          <w:tcPr>
            <w:tcW w:w="4091" w:type="pct"/>
            <w:tcBorders>
              <w:tl2br w:val="nil"/>
              <w:tr2bl w:val="nil"/>
            </w:tcBorders>
            <w:noWrap/>
            <w:vAlign w:val="center"/>
          </w:tcPr>
          <w:p w14:paraId="0F4E6B05">
            <w:pPr>
              <w:keepNext w:val="0"/>
              <w:keepLines w:val="0"/>
              <w:pageBreakBefore w:val="0"/>
              <w:widowControl w:val="0"/>
              <w:kinsoku/>
              <w:wordWrap/>
              <w:overflowPunct/>
              <w:topLinePunct w:val="0"/>
              <w:autoSpaceDE/>
              <w:autoSpaceDN/>
              <w:bidi w:val="0"/>
              <w:adjustRightInd/>
              <w:snapToGrid/>
              <w:spacing w:line="360" w:lineRule="exact"/>
              <w:textAlignment w:val="auto"/>
              <w:rPr>
                <w:color w:val="auto"/>
                <w:sz w:val="24"/>
                <w:highlight w:val="yellow"/>
              </w:rPr>
            </w:pPr>
            <w:r>
              <w:rPr>
                <w:rFonts w:hint="eastAsia"/>
                <w:color w:val="auto"/>
                <w:sz w:val="24"/>
                <w:highlight w:val="none"/>
              </w:rPr>
              <w:t>服务</w:t>
            </w:r>
            <w:r>
              <w:rPr>
                <w:rFonts w:hint="eastAsia" w:eastAsia="宋体"/>
                <w:color w:val="auto"/>
                <w:sz w:val="24"/>
                <w:highlight w:val="none"/>
                <w:lang w:eastAsia="zh-CN"/>
              </w:rPr>
              <w:t>期限</w:t>
            </w:r>
            <w:r>
              <w:rPr>
                <w:rFonts w:hint="eastAsia"/>
                <w:color w:val="auto"/>
                <w:sz w:val="24"/>
                <w:highlight w:val="none"/>
                <w:lang w:eastAsia="zh-CN"/>
              </w:rPr>
              <w:t>：跟据业主方的实际情况，最大限度的降低停用时间为原则，双方协商制定。</w:t>
            </w:r>
          </w:p>
          <w:p w14:paraId="263D911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color w:val="auto"/>
                <w:sz w:val="24"/>
                <w:highlight w:val="none"/>
              </w:rPr>
            </w:pPr>
            <w:r>
              <w:rPr>
                <w:rFonts w:hint="eastAsia"/>
                <w:color w:val="auto"/>
                <w:sz w:val="24"/>
                <w:highlight w:val="none"/>
              </w:rPr>
              <w:t>服务地点</w:t>
            </w:r>
            <w:r>
              <w:rPr>
                <w:rFonts w:hint="eastAsia"/>
                <w:color w:val="auto"/>
                <w:sz w:val="24"/>
                <w:highlight w:val="none"/>
                <w:lang w:eastAsia="zh-CN"/>
              </w:rPr>
              <w:t>：西安市体育训练中心</w:t>
            </w:r>
          </w:p>
        </w:tc>
      </w:tr>
      <w:tr w14:paraId="4A05F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908" w:type="pct"/>
            <w:tcBorders>
              <w:tl2br w:val="nil"/>
              <w:tr2bl w:val="nil"/>
            </w:tcBorders>
            <w:noWrap/>
            <w:vAlign w:val="center"/>
          </w:tcPr>
          <w:p w14:paraId="55393DBF">
            <w:pPr>
              <w:jc w:val="center"/>
              <w:rPr>
                <w:rFonts w:ascii="宋体" w:hAnsi="宋体" w:cs="宋体"/>
                <w:color w:val="auto"/>
                <w:sz w:val="24"/>
                <w:szCs w:val="24"/>
                <w:highlight w:val="none"/>
              </w:rPr>
            </w:pPr>
            <w:r>
              <w:rPr>
                <w:rFonts w:hint="eastAsia" w:ascii="宋体" w:hAnsi="宋体" w:cs="宋体"/>
                <w:color w:val="auto"/>
                <w:sz w:val="24"/>
                <w:szCs w:val="24"/>
                <w:highlight w:val="none"/>
              </w:rPr>
              <w:t>7.3</w:t>
            </w:r>
          </w:p>
        </w:tc>
        <w:tc>
          <w:tcPr>
            <w:tcW w:w="4091" w:type="pct"/>
            <w:tcBorders>
              <w:tl2br w:val="nil"/>
              <w:tr2bl w:val="nil"/>
            </w:tcBorders>
            <w:noWrap/>
            <w:vAlign w:val="center"/>
          </w:tcPr>
          <w:p w14:paraId="71FCDB5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firstLine="0" w:firstLineChars="0"/>
              <w:jc w:val="left"/>
              <w:textAlignment w:val="auto"/>
              <w:rPr>
                <w:rFonts w:ascii="宋体" w:hAnsi="宋体" w:cs="宋体"/>
                <w:color w:val="auto"/>
                <w:sz w:val="24"/>
                <w:szCs w:val="24"/>
                <w:highlight w:val="none"/>
              </w:rPr>
            </w:pPr>
            <w:r>
              <w:rPr>
                <w:rFonts w:hint="eastAsia" w:ascii="宋体" w:hAnsi="宋体" w:eastAsia="宋体" w:cs="宋体"/>
                <w:b/>
                <w:bCs/>
                <w:color w:val="auto"/>
                <w:kern w:val="2"/>
                <w:sz w:val="24"/>
                <w:szCs w:val="24"/>
                <w:highlight w:val="none"/>
                <w:lang w:val="en-US" w:eastAsia="zh-CN" w:bidi="ar"/>
              </w:rPr>
              <w:t>付款计划：</w:t>
            </w:r>
            <w:r>
              <w:rPr>
                <w:rFonts w:hint="eastAsia" w:ascii="宋体" w:hAnsi="宋体" w:eastAsia="宋体" w:cs="宋体"/>
                <w:b w:val="0"/>
                <w:bCs w:val="0"/>
                <w:color w:val="auto"/>
                <w:kern w:val="2"/>
                <w:sz w:val="24"/>
                <w:szCs w:val="24"/>
                <w:highlight w:val="none"/>
                <w:lang w:val="en-US" w:eastAsia="zh-CN" w:bidi="ar"/>
              </w:rPr>
              <w:t>合同签订后5个工作日内支付合同总价款的40%；项目实施阶段完成后5个工作日内支付合同总价款的40%；成果交付验收合格后，5个工作日内支付合同总价款的20%。</w:t>
            </w:r>
          </w:p>
        </w:tc>
      </w:tr>
      <w:tr w14:paraId="6A215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4" w:hRule="atLeast"/>
        </w:trPr>
        <w:tc>
          <w:tcPr>
            <w:tcW w:w="908" w:type="pct"/>
            <w:tcBorders>
              <w:tl2br w:val="nil"/>
              <w:tr2bl w:val="nil"/>
            </w:tcBorders>
            <w:noWrap/>
            <w:vAlign w:val="center"/>
          </w:tcPr>
          <w:p w14:paraId="7FC41824">
            <w:pPr>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12</w:t>
            </w:r>
          </w:p>
        </w:tc>
        <w:tc>
          <w:tcPr>
            <w:tcW w:w="4091" w:type="pct"/>
            <w:tcBorders>
              <w:tl2br w:val="nil"/>
              <w:tr2bl w:val="nil"/>
            </w:tcBorders>
            <w:noWrap/>
            <w:vAlign w:val="center"/>
          </w:tcPr>
          <w:p w14:paraId="419D9B3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cs="宋体"/>
                <w:color w:val="auto"/>
                <w:sz w:val="24"/>
                <w:szCs w:val="24"/>
                <w:highlight w:val="none"/>
              </w:rPr>
            </w:pPr>
            <w:r>
              <w:rPr>
                <w:rFonts w:hint="eastAsia" w:ascii="宋体" w:hAnsi="宋体" w:cs="宋体"/>
                <w:b/>
                <w:bCs/>
                <w:color w:val="auto"/>
                <w:sz w:val="24"/>
                <w:szCs w:val="24"/>
                <w:highlight w:val="none"/>
              </w:rPr>
              <w:t>争议的解决</w:t>
            </w:r>
            <w:r>
              <w:rPr>
                <w:rFonts w:hint="eastAsia" w:ascii="宋体" w:hAnsi="宋体" w:cs="宋体"/>
                <w:b/>
                <w:bCs/>
                <w:color w:val="auto"/>
                <w:sz w:val="24"/>
                <w:szCs w:val="24"/>
                <w:highlight w:val="none"/>
                <w:lang w:eastAsia="zh-CN"/>
              </w:rPr>
              <w:t>：</w:t>
            </w:r>
            <w:r>
              <w:rPr>
                <w:rFonts w:hint="eastAsia" w:ascii="宋体" w:hAnsi="宋体" w:eastAsia="宋体" w:cs="宋体"/>
                <w:color w:val="auto"/>
                <w:kern w:val="2"/>
                <w:sz w:val="24"/>
                <w:szCs w:val="24"/>
                <w:highlight w:val="none"/>
                <w:lang w:val="en-US" w:eastAsia="zh-CN" w:bidi="ar"/>
              </w:rPr>
              <w:t>因服务方案问题发生争议的，应聘请国家认可的相关部门进行鉴定。服务符合标准的，鉴定费由买方承担；服务不符合标准的，鉴定费由卖方承担。因履行本合同引起的或与本合同有关的争议，甲乙双方应首先通过友好协商解决，如果协商不能解决，可向有管辖权的人民法院提起诉讼。</w:t>
            </w:r>
          </w:p>
        </w:tc>
      </w:tr>
    </w:tbl>
    <w:p w14:paraId="7C0B1B7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Style w:val="14"/>
          <w:rFonts w:hint="eastAsia" w:ascii="宋体" w:hAnsi="宋体" w:cs="宋体"/>
          <w:b/>
          <w:bCs/>
          <w:color w:val="auto"/>
          <w:kern w:val="0"/>
          <w:sz w:val="36"/>
          <w:szCs w:val="36"/>
          <w:highlight w:val="none"/>
        </w:rPr>
      </w:pPr>
      <w:r>
        <w:rPr>
          <w:color w:val="auto"/>
          <w:szCs w:val="21"/>
          <w:highlight w:val="none"/>
        </w:rPr>
        <w:br w:type="page"/>
      </w:r>
      <w:bookmarkStart w:id="3" w:name="_Toc11119"/>
      <w:bookmarkStart w:id="4" w:name="_Toc13293"/>
      <w:bookmarkStart w:id="5" w:name="_Toc6324"/>
      <w:r>
        <w:rPr>
          <w:rStyle w:val="14"/>
          <w:rFonts w:hint="eastAsia" w:ascii="宋体" w:hAnsi="宋体" w:cs="宋体"/>
          <w:b/>
          <w:bCs/>
          <w:color w:val="auto"/>
          <w:kern w:val="0"/>
          <w:sz w:val="32"/>
          <w:szCs w:val="32"/>
          <w:highlight w:val="none"/>
        </w:rPr>
        <w:t>合同格式</w:t>
      </w:r>
      <w:bookmarkEnd w:id="3"/>
    </w:p>
    <w:bookmarkEnd w:id="4"/>
    <w:bookmarkEnd w:id="5"/>
    <w:p w14:paraId="61252919">
      <w:pPr>
        <w:rPr>
          <w:rFonts w:hint="eastAsia"/>
          <w:color w:val="auto"/>
          <w:sz w:val="28"/>
          <w:szCs w:val="28"/>
          <w:highlight w:val="none"/>
        </w:rPr>
      </w:pPr>
      <w:r>
        <w:rPr>
          <w:rFonts w:hint="eastAsia"/>
          <w:color w:val="auto"/>
          <w:sz w:val="28"/>
          <w:szCs w:val="28"/>
          <w:highlight w:val="none"/>
        </w:rPr>
        <w:br w:type="page"/>
      </w:r>
      <w:r>
        <w:rPr>
          <w:rFonts w:hint="eastAsia"/>
          <w:color w:val="auto"/>
          <w:sz w:val="28"/>
          <w:szCs w:val="28"/>
          <w:highlight w:val="none"/>
        </w:rPr>
        <w:t>1、合同封面格式</w:t>
      </w:r>
    </w:p>
    <w:tbl>
      <w:tblPr>
        <w:tblStyle w:val="7"/>
        <w:tblW w:w="8295" w:type="dxa"/>
        <w:tblInd w:w="0" w:type="dxa"/>
        <w:tblLayout w:type="fixed"/>
        <w:tblCellMar>
          <w:top w:w="0" w:type="dxa"/>
          <w:left w:w="0" w:type="dxa"/>
          <w:bottom w:w="0" w:type="dxa"/>
          <w:right w:w="0" w:type="dxa"/>
        </w:tblCellMar>
      </w:tblPr>
      <w:tblGrid>
        <w:gridCol w:w="2548"/>
        <w:gridCol w:w="5747"/>
      </w:tblGrid>
      <w:tr w14:paraId="3178AA0C">
        <w:tblPrEx>
          <w:tblCellMar>
            <w:top w:w="0" w:type="dxa"/>
            <w:left w:w="0" w:type="dxa"/>
            <w:bottom w:w="0" w:type="dxa"/>
            <w:right w:w="0" w:type="dxa"/>
          </w:tblCellMar>
        </w:tblPrEx>
        <w:trPr>
          <w:trHeight w:val="529"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3801429D">
            <w:pPr>
              <w:ind w:firstLine="5926" w:firstLineChars="1851"/>
              <w:rPr>
                <w:rFonts w:ascii="宋体" w:hAnsi="宋体" w:cs="宋体"/>
                <w:b/>
                <w:bCs/>
                <w:color w:val="auto"/>
                <w:sz w:val="32"/>
                <w:szCs w:val="32"/>
                <w:highlight w:val="none"/>
              </w:rPr>
            </w:pPr>
            <w:r>
              <w:rPr>
                <w:rFonts w:hint="eastAsia"/>
                <w:b/>
                <w:bCs/>
                <w:color w:val="auto"/>
                <w:sz w:val="32"/>
                <w:szCs w:val="32"/>
                <w:highlight w:val="none"/>
              </w:rPr>
              <w:t>项目</w:t>
            </w:r>
          </w:p>
        </w:tc>
      </w:tr>
      <w:tr w14:paraId="60A0B41C">
        <w:tblPrEx>
          <w:tblCellMar>
            <w:top w:w="0" w:type="dxa"/>
            <w:left w:w="0" w:type="dxa"/>
            <w:bottom w:w="0" w:type="dxa"/>
            <w:right w:w="0" w:type="dxa"/>
          </w:tblCellMar>
        </w:tblPrEx>
        <w:trPr>
          <w:trHeight w:val="518"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4C0C91D9">
            <w:pPr>
              <w:jc w:val="center"/>
              <w:rPr>
                <w:rFonts w:ascii="宋体" w:hAnsi="宋体" w:cs="宋体"/>
                <w:b/>
                <w:bCs/>
                <w:color w:val="auto"/>
                <w:sz w:val="32"/>
                <w:szCs w:val="32"/>
                <w:highlight w:val="none"/>
              </w:rPr>
            </w:pPr>
            <w:r>
              <w:rPr>
                <w:rFonts w:hint="eastAsia"/>
                <w:b/>
                <w:bCs/>
                <w:color w:val="auto"/>
                <w:sz w:val="32"/>
                <w:szCs w:val="32"/>
                <w:highlight w:val="none"/>
                <w:lang w:eastAsia="zh-CN"/>
              </w:rPr>
              <w:t>服务</w:t>
            </w:r>
            <w:r>
              <w:rPr>
                <w:rFonts w:hint="eastAsia"/>
                <w:b/>
                <w:bCs/>
                <w:color w:val="auto"/>
                <w:sz w:val="32"/>
                <w:szCs w:val="32"/>
                <w:highlight w:val="none"/>
              </w:rPr>
              <w:t>合同</w:t>
            </w:r>
          </w:p>
        </w:tc>
      </w:tr>
      <w:tr w14:paraId="67533C47">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F6E66D6">
            <w:pPr>
              <w:rPr>
                <w:rFonts w:ascii="宋体" w:hAnsi="宋体" w:cs="宋体"/>
                <w:color w:val="auto"/>
                <w:sz w:val="24"/>
                <w:szCs w:val="24"/>
                <w:highlight w:val="none"/>
              </w:rPr>
            </w:pPr>
            <w:r>
              <w:rPr>
                <w:rFonts w:hint="eastAsia" w:ascii="宋体" w:hAnsi="宋体"/>
                <w:color w:val="auto"/>
                <w:sz w:val="24"/>
                <w:szCs w:val="24"/>
                <w:highlight w:val="none"/>
              </w:rPr>
              <w:t xml:space="preserve">合同号:   </w:t>
            </w:r>
          </w:p>
        </w:tc>
        <w:tc>
          <w:tcPr>
            <w:tcW w:w="5747" w:type="dxa"/>
            <w:tcBorders>
              <w:top w:val="nil"/>
              <w:left w:val="nil"/>
              <w:bottom w:val="nil"/>
              <w:right w:val="nil"/>
            </w:tcBorders>
            <w:noWrap/>
            <w:tcMar>
              <w:top w:w="15" w:type="dxa"/>
              <w:left w:w="15" w:type="dxa"/>
              <w:bottom w:w="0" w:type="dxa"/>
              <w:right w:w="15" w:type="dxa"/>
            </w:tcMar>
            <w:vAlign w:val="bottom"/>
          </w:tcPr>
          <w:p w14:paraId="29AACF17">
            <w:pPr>
              <w:rPr>
                <w:rFonts w:ascii="宋体" w:hAnsi="宋体" w:cs="宋体"/>
                <w:color w:val="auto"/>
                <w:sz w:val="24"/>
                <w:szCs w:val="24"/>
                <w:highlight w:val="none"/>
              </w:rPr>
            </w:pPr>
          </w:p>
        </w:tc>
      </w:tr>
      <w:tr w14:paraId="382A1153">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7F96B85">
            <w:pPr>
              <w:rPr>
                <w:rFonts w:ascii="宋体" w:hAnsi="宋体" w:cs="宋体"/>
                <w:color w:val="auto"/>
                <w:sz w:val="24"/>
                <w:szCs w:val="24"/>
                <w:highlight w:val="none"/>
              </w:rPr>
            </w:pPr>
            <w:r>
              <w:rPr>
                <w:rFonts w:hint="eastAsia" w:ascii="宋体" w:hAnsi="宋体"/>
                <w:color w:val="auto"/>
                <w:sz w:val="24"/>
                <w:szCs w:val="24"/>
                <w:highlight w:val="none"/>
              </w:rPr>
              <w:t xml:space="preserve">合同签订日期:  </w:t>
            </w:r>
          </w:p>
        </w:tc>
        <w:tc>
          <w:tcPr>
            <w:tcW w:w="5747" w:type="dxa"/>
            <w:tcBorders>
              <w:top w:val="nil"/>
              <w:left w:val="nil"/>
              <w:bottom w:val="nil"/>
              <w:right w:val="nil"/>
            </w:tcBorders>
            <w:noWrap/>
            <w:tcMar>
              <w:top w:w="15" w:type="dxa"/>
              <w:left w:w="15" w:type="dxa"/>
              <w:bottom w:w="0" w:type="dxa"/>
              <w:right w:w="15" w:type="dxa"/>
            </w:tcMar>
            <w:vAlign w:val="bottom"/>
          </w:tcPr>
          <w:p w14:paraId="4CCC34F2">
            <w:pPr>
              <w:rPr>
                <w:rFonts w:ascii="宋体" w:hAnsi="宋体" w:cs="宋体"/>
                <w:color w:val="auto"/>
                <w:sz w:val="24"/>
                <w:szCs w:val="24"/>
                <w:highlight w:val="none"/>
              </w:rPr>
            </w:pPr>
            <w:r>
              <w:rPr>
                <w:rFonts w:hint="eastAsia" w:ascii="宋体" w:hAnsi="宋体"/>
                <w:color w:val="auto"/>
                <w:sz w:val="24"/>
                <w:szCs w:val="24"/>
                <w:highlight w:val="none"/>
              </w:rPr>
              <w:t>202</w:t>
            </w:r>
            <w:r>
              <w:rPr>
                <w:rFonts w:hint="eastAsia" w:ascii="宋体" w:hAnsi="宋体" w:eastAsia="宋体"/>
                <w:color w:val="auto"/>
                <w:sz w:val="24"/>
                <w:szCs w:val="24"/>
                <w:highlight w:val="none"/>
                <w:lang w:val="en-US" w:eastAsia="zh-CN"/>
              </w:rPr>
              <w:t>5</w:t>
            </w:r>
            <w:r>
              <w:rPr>
                <w:rFonts w:hint="eastAsia" w:ascii="宋体" w:hAnsi="宋体"/>
                <w:color w:val="auto"/>
                <w:sz w:val="24"/>
                <w:szCs w:val="24"/>
                <w:highlight w:val="none"/>
              </w:rPr>
              <w:t>年   月   日</w:t>
            </w:r>
          </w:p>
        </w:tc>
      </w:tr>
      <w:tr w14:paraId="5D2325C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57C50AE">
            <w:pPr>
              <w:rPr>
                <w:rFonts w:ascii="宋体" w:hAnsi="宋体" w:cs="宋体"/>
                <w:color w:val="auto"/>
                <w:sz w:val="24"/>
                <w:szCs w:val="24"/>
                <w:highlight w:val="none"/>
              </w:rPr>
            </w:pPr>
            <w:r>
              <w:rPr>
                <w:rFonts w:hint="eastAsia" w:ascii="宋体" w:hAnsi="宋体"/>
                <w:color w:val="auto"/>
                <w:sz w:val="24"/>
                <w:szCs w:val="24"/>
                <w:highlight w:val="none"/>
              </w:rPr>
              <w:t xml:space="preserve">签 字 地 点:     </w:t>
            </w:r>
          </w:p>
        </w:tc>
        <w:tc>
          <w:tcPr>
            <w:tcW w:w="5747" w:type="dxa"/>
            <w:tcBorders>
              <w:top w:val="nil"/>
              <w:left w:val="nil"/>
              <w:bottom w:val="nil"/>
              <w:right w:val="nil"/>
            </w:tcBorders>
            <w:noWrap/>
            <w:tcMar>
              <w:top w:w="15" w:type="dxa"/>
              <w:left w:w="15" w:type="dxa"/>
              <w:bottom w:w="0" w:type="dxa"/>
              <w:right w:w="15" w:type="dxa"/>
            </w:tcMar>
            <w:vAlign w:val="bottom"/>
          </w:tcPr>
          <w:p w14:paraId="3CE868F5">
            <w:pPr>
              <w:rPr>
                <w:rFonts w:ascii="宋体" w:hAnsi="宋体" w:cs="宋体"/>
                <w:color w:val="auto"/>
                <w:sz w:val="24"/>
                <w:szCs w:val="24"/>
                <w:highlight w:val="none"/>
              </w:rPr>
            </w:pPr>
          </w:p>
        </w:tc>
      </w:tr>
      <w:tr w14:paraId="6F3560FA">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E927FD5">
            <w:pPr>
              <w:rPr>
                <w:rFonts w:ascii="宋体" w:hAnsi="宋体" w:cs="宋体"/>
                <w:color w:val="auto"/>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58BC43EF">
            <w:pPr>
              <w:rPr>
                <w:rFonts w:ascii="宋体" w:hAnsi="宋体" w:cs="宋体"/>
                <w:color w:val="auto"/>
                <w:sz w:val="24"/>
                <w:szCs w:val="24"/>
                <w:highlight w:val="none"/>
              </w:rPr>
            </w:pPr>
          </w:p>
        </w:tc>
      </w:tr>
      <w:tr w14:paraId="2D3FB0E3">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E16E9D8">
            <w:pPr>
              <w:rPr>
                <w:rFonts w:ascii="宋体" w:hAnsi="宋体" w:cs="宋体"/>
                <w:color w:val="auto"/>
                <w:sz w:val="24"/>
                <w:szCs w:val="24"/>
                <w:highlight w:val="none"/>
              </w:rPr>
            </w:pPr>
            <w:r>
              <w:rPr>
                <w:rFonts w:hint="eastAsia" w:ascii="宋体" w:hAnsi="宋体"/>
                <w:color w:val="auto"/>
                <w:sz w:val="24"/>
                <w:szCs w:val="24"/>
                <w:highlight w:val="none"/>
              </w:rPr>
              <w:t>买方:</w:t>
            </w:r>
          </w:p>
        </w:tc>
        <w:tc>
          <w:tcPr>
            <w:tcW w:w="5747" w:type="dxa"/>
            <w:tcBorders>
              <w:top w:val="nil"/>
              <w:left w:val="nil"/>
              <w:bottom w:val="nil"/>
              <w:right w:val="nil"/>
            </w:tcBorders>
            <w:noWrap/>
            <w:tcMar>
              <w:top w:w="15" w:type="dxa"/>
              <w:left w:w="15" w:type="dxa"/>
              <w:bottom w:w="0" w:type="dxa"/>
              <w:right w:w="15" w:type="dxa"/>
            </w:tcMar>
            <w:vAlign w:val="bottom"/>
          </w:tcPr>
          <w:p w14:paraId="38BA4135">
            <w:pPr>
              <w:rPr>
                <w:rFonts w:ascii="宋体" w:hAnsi="宋体" w:cs="宋体"/>
                <w:color w:val="auto"/>
                <w:sz w:val="24"/>
                <w:szCs w:val="24"/>
                <w:highlight w:val="none"/>
              </w:rPr>
            </w:pPr>
          </w:p>
        </w:tc>
      </w:tr>
      <w:tr w14:paraId="5EA855F1">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9C9581C">
            <w:pPr>
              <w:rPr>
                <w:rFonts w:ascii="宋体" w:hAnsi="宋体" w:cs="宋体"/>
                <w:color w:val="auto"/>
                <w:sz w:val="24"/>
                <w:szCs w:val="24"/>
                <w:highlight w:val="none"/>
              </w:rPr>
            </w:pPr>
            <w:r>
              <w:rPr>
                <w:rFonts w:hint="eastAsia" w:ascii="宋体" w:hAnsi="宋体"/>
                <w:color w:val="auto"/>
                <w:sz w:val="24"/>
                <w:szCs w:val="24"/>
                <w:highlight w:val="none"/>
              </w:rPr>
              <w:t>地址:</w:t>
            </w:r>
          </w:p>
        </w:tc>
        <w:tc>
          <w:tcPr>
            <w:tcW w:w="5747" w:type="dxa"/>
            <w:tcBorders>
              <w:top w:val="nil"/>
              <w:left w:val="nil"/>
              <w:bottom w:val="nil"/>
              <w:right w:val="nil"/>
            </w:tcBorders>
            <w:noWrap/>
            <w:tcMar>
              <w:top w:w="15" w:type="dxa"/>
              <w:left w:w="15" w:type="dxa"/>
              <w:bottom w:w="0" w:type="dxa"/>
              <w:right w:w="15" w:type="dxa"/>
            </w:tcMar>
            <w:vAlign w:val="bottom"/>
          </w:tcPr>
          <w:p w14:paraId="2598C138">
            <w:pPr>
              <w:rPr>
                <w:rFonts w:ascii="宋体" w:hAnsi="宋体" w:cs="宋体"/>
                <w:color w:val="auto"/>
                <w:sz w:val="24"/>
                <w:szCs w:val="24"/>
                <w:highlight w:val="none"/>
              </w:rPr>
            </w:pPr>
          </w:p>
        </w:tc>
      </w:tr>
      <w:tr w14:paraId="24E9E65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D7630B3">
            <w:pPr>
              <w:rPr>
                <w:rFonts w:ascii="宋体" w:hAnsi="宋体" w:cs="宋体"/>
                <w:color w:val="auto"/>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78C69903">
            <w:pPr>
              <w:rPr>
                <w:rFonts w:ascii="宋体" w:hAnsi="宋体" w:cs="宋体"/>
                <w:color w:val="auto"/>
                <w:sz w:val="24"/>
                <w:szCs w:val="24"/>
                <w:highlight w:val="none"/>
              </w:rPr>
            </w:pPr>
          </w:p>
        </w:tc>
      </w:tr>
      <w:tr w14:paraId="7B8B591B">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6D04A25">
            <w:pPr>
              <w:rPr>
                <w:rFonts w:ascii="宋体" w:hAnsi="宋体" w:cs="宋体"/>
                <w:color w:val="auto"/>
                <w:sz w:val="24"/>
                <w:szCs w:val="24"/>
                <w:highlight w:val="none"/>
              </w:rPr>
            </w:pPr>
            <w:r>
              <w:rPr>
                <w:rFonts w:hint="eastAsia" w:ascii="宋体" w:hAnsi="宋体"/>
                <w:color w:val="auto"/>
                <w:sz w:val="24"/>
                <w:szCs w:val="24"/>
                <w:highlight w:val="none"/>
              </w:rPr>
              <w:t>邮编:</w:t>
            </w:r>
          </w:p>
        </w:tc>
        <w:tc>
          <w:tcPr>
            <w:tcW w:w="5747" w:type="dxa"/>
            <w:tcBorders>
              <w:top w:val="nil"/>
              <w:left w:val="nil"/>
              <w:bottom w:val="nil"/>
              <w:right w:val="nil"/>
            </w:tcBorders>
            <w:noWrap/>
            <w:tcMar>
              <w:top w:w="15" w:type="dxa"/>
              <w:left w:w="15" w:type="dxa"/>
              <w:bottom w:w="0" w:type="dxa"/>
              <w:right w:w="15" w:type="dxa"/>
            </w:tcMar>
            <w:vAlign w:val="bottom"/>
          </w:tcPr>
          <w:p w14:paraId="02D774EA">
            <w:pPr>
              <w:rPr>
                <w:rFonts w:ascii="宋体" w:hAnsi="宋体"/>
                <w:color w:val="auto"/>
                <w:sz w:val="24"/>
                <w:szCs w:val="24"/>
                <w:highlight w:val="none"/>
              </w:rPr>
            </w:pPr>
          </w:p>
        </w:tc>
      </w:tr>
      <w:tr w14:paraId="6BD04EBF">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692DFCD">
            <w:pPr>
              <w:rPr>
                <w:rFonts w:ascii="宋体" w:hAnsi="宋体" w:cs="宋体"/>
                <w:color w:val="auto"/>
                <w:sz w:val="24"/>
                <w:szCs w:val="24"/>
                <w:highlight w:val="none"/>
              </w:rPr>
            </w:pPr>
            <w:r>
              <w:rPr>
                <w:rFonts w:hint="eastAsia" w:ascii="宋体" w:hAnsi="宋体"/>
                <w:color w:val="auto"/>
                <w:sz w:val="24"/>
                <w:szCs w:val="24"/>
                <w:highlight w:val="none"/>
              </w:rPr>
              <w:t>电话:</w:t>
            </w:r>
          </w:p>
        </w:tc>
        <w:tc>
          <w:tcPr>
            <w:tcW w:w="5747" w:type="dxa"/>
            <w:tcBorders>
              <w:top w:val="nil"/>
              <w:left w:val="nil"/>
              <w:bottom w:val="nil"/>
              <w:right w:val="nil"/>
            </w:tcBorders>
            <w:noWrap/>
            <w:tcMar>
              <w:top w:w="15" w:type="dxa"/>
              <w:left w:w="15" w:type="dxa"/>
              <w:bottom w:w="0" w:type="dxa"/>
              <w:right w:w="15" w:type="dxa"/>
            </w:tcMar>
            <w:vAlign w:val="bottom"/>
          </w:tcPr>
          <w:p w14:paraId="31727120">
            <w:pPr>
              <w:rPr>
                <w:rFonts w:ascii="宋体" w:hAnsi="宋体" w:cs="宋体"/>
                <w:color w:val="auto"/>
                <w:sz w:val="24"/>
                <w:szCs w:val="24"/>
                <w:highlight w:val="none"/>
              </w:rPr>
            </w:pPr>
          </w:p>
        </w:tc>
      </w:tr>
      <w:tr w14:paraId="589AAF9A">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EAA4F2E">
            <w:pPr>
              <w:rPr>
                <w:rFonts w:ascii="宋体" w:hAnsi="宋体" w:cs="宋体"/>
                <w:color w:val="auto"/>
                <w:sz w:val="24"/>
                <w:szCs w:val="24"/>
                <w:highlight w:val="none"/>
              </w:rPr>
            </w:pPr>
            <w:r>
              <w:rPr>
                <w:rFonts w:hint="eastAsia" w:ascii="宋体" w:hAnsi="宋体"/>
                <w:color w:val="auto"/>
                <w:sz w:val="24"/>
                <w:szCs w:val="24"/>
                <w:highlight w:val="none"/>
              </w:rPr>
              <w:t>传真:</w:t>
            </w:r>
          </w:p>
        </w:tc>
        <w:tc>
          <w:tcPr>
            <w:tcW w:w="5747" w:type="dxa"/>
            <w:tcBorders>
              <w:top w:val="nil"/>
              <w:left w:val="nil"/>
              <w:bottom w:val="nil"/>
              <w:right w:val="nil"/>
            </w:tcBorders>
            <w:noWrap/>
            <w:tcMar>
              <w:top w:w="15" w:type="dxa"/>
              <w:left w:w="15" w:type="dxa"/>
              <w:bottom w:w="0" w:type="dxa"/>
              <w:right w:w="15" w:type="dxa"/>
            </w:tcMar>
            <w:vAlign w:val="bottom"/>
          </w:tcPr>
          <w:p w14:paraId="015FE517">
            <w:pPr>
              <w:rPr>
                <w:rFonts w:ascii="宋体" w:hAnsi="宋体" w:cs="宋体"/>
                <w:color w:val="auto"/>
                <w:sz w:val="24"/>
                <w:szCs w:val="24"/>
                <w:highlight w:val="none"/>
              </w:rPr>
            </w:pPr>
          </w:p>
        </w:tc>
      </w:tr>
      <w:tr w14:paraId="6027CEAD">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3E9E7E9">
            <w:pPr>
              <w:rPr>
                <w:rFonts w:ascii="宋体" w:hAnsi="宋体" w:cs="宋体"/>
                <w:color w:val="auto"/>
                <w:sz w:val="24"/>
                <w:szCs w:val="24"/>
                <w:highlight w:val="none"/>
              </w:rPr>
            </w:pPr>
            <w:r>
              <w:rPr>
                <w:rFonts w:hint="eastAsia" w:ascii="宋体" w:hAnsi="宋体"/>
                <w:color w:val="auto"/>
                <w:sz w:val="24"/>
                <w:szCs w:val="24"/>
                <w:highlight w:val="none"/>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23E2C7EC">
            <w:pPr>
              <w:rPr>
                <w:rFonts w:ascii="宋体" w:hAnsi="宋体" w:cs="宋体"/>
                <w:color w:val="auto"/>
                <w:sz w:val="24"/>
                <w:szCs w:val="24"/>
                <w:highlight w:val="none"/>
              </w:rPr>
            </w:pPr>
          </w:p>
        </w:tc>
      </w:tr>
      <w:tr w14:paraId="6402E244">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0734546">
            <w:pPr>
              <w:rPr>
                <w:rFonts w:ascii="宋体" w:hAnsi="宋体" w:cs="宋体"/>
                <w:color w:val="auto"/>
                <w:sz w:val="24"/>
                <w:szCs w:val="24"/>
                <w:highlight w:val="none"/>
              </w:rPr>
            </w:pPr>
            <w:r>
              <w:rPr>
                <w:rFonts w:hint="eastAsia" w:ascii="宋体" w:hAnsi="宋体"/>
                <w:color w:val="auto"/>
                <w:sz w:val="24"/>
                <w:szCs w:val="24"/>
                <w:highlight w:val="none"/>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7B1A6964">
            <w:pPr>
              <w:rPr>
                <w:rFonts w:ascii="宋体" w:hAnsi="宋体" w:cs="宋体"/>
                <w:color w:val="auto"/>
                <w:sz w:val="24"/>
                <w:szCs w:val="24"/>
                <w:highlight w:val="none"/>
              </w:rPr>
            </w:pPr>
          </w:p>
        </w:tc>
      </w:tr>
      <w:tr w14:paraId="5A42891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D7B56E0">
            <w:pPr>
              <w:rPr>
                <w:rFonts w:ascii="宋体" w:hAnsi="宋体" w:cs="宋体"/>
                <w:color w:val="auto"/>
                <w:sz w:val="24"/>
                <w:szCs w:val="24"/>
                <w:highlight w:val="none"/>
              </w:rPr>
            </w:pPr>
            <w:r>
              <w:rPr>
                <w:rFonts w:hint="eastAsia" w:ascii="宋体" w:hAnsi="宋体"/>
                <w:color w:val="auto"/>
                <w:sz w:val="24"/>
                <w:szCs w:val="24"/>
                <w:highlight w:val="none"/>
              </w:rPr>
              <w:t>帐号:</w:t>
            </w:r>
          </w:p>
        </w:tc>
        <w:tc>
          <w:tcPr>
            <w:tcW w:w="5747" w:type="dxa"/>
            <w:tcBorders>
              <w:top w:val="nil"/>
              <w:left w:val="nil"/>
              <w:bottom w:val="nil"/>
              <w:right w:val="nil"/>
            </w:tcBorders>
            <w:noWrap/>
            <w:tcMar>
              <w:top w:w="15" w:type="dxa"/>
              <w:left w:w="15" w:type="dxa"/>
              <w:bottom w:w="0" w:type="dxa"/>
              <w:right w:w="15" w:type="dxa"/>
            </w:tcMar>
            <w:vAlign w:val="bottom"/>
          </w:tcPr>
          <w:p w14:paraId="31BFACD9">
            <w:pPr>
              <w:rPr>
                <w:rFonts w:ascii="宋体" w:hAnsi="宋体"/>
                <w:color w:val="auto"/>
                <w:sz w:val="24"/>
                <w:szCs w:val="24"/>
                <w:highlight w:val="none"/>
              </w:rPr>
            </w:pPr>
          </w:p>
        </w:tc>
      </w:tr>
      <w:tr w14:paraId="595A63E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77B8AE1">
            <w:pPr>
              <w:rPr>
                <w:rFonts w:ascii="宋体" w:hAnsi="宋体" w:cs="宋体"/>
                <w:color w:val="auto"/>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3AF1A505">
            <w:pPr>
              <w:rPr>
                <w:rFonts w:ascii="宋体" w:hAnsi="宋体" w:cs="宋体"/>
                <w:color w:val="auto"/>
                <w:sz w:val="24"/>
                <w:szCs w:val="24"/>
                <w:highlight w:val="none"/>
              </w:rPr>
            </w:pPr>
          </w:p>
        </w:tc>
      </w:tr>
      <w:tr w14:paraId="2E86D902">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6DB5DF8">
            <w:pPr>
              <w:rPr>
                <w:rFonts w:ascii="宋体" w:hAnsi="宋体" w:cs="宋体"/>
                <w:color w:val="auto"/>
                <w:sz w:val="24"/>
                <w:szCs w:val="24"/>
                <w:highlight w:val="none"/>
              </w:rPr>
            </w:pPr>
            <w:r>
              <w:rPr>
                <w:rFonts w:hint="eastAsia" w:ascii="宋体" w:hAnsi="宋体"/>
                <w:color w:val="auto"/>
                <w:sz w:val="24"/>
                <w:szCs w:val="24"/>
                <w:highlight w:val="none"/>
              </w:rPr>
              <w:t>卖方:</w:t>
            </w:r>
          </w:p>
        </w:tc>
        <w:tc>
          <w:tcPr>
            <w:tcW w:w="5747" w:type="dxa"/>
            <w:tcBorders>
              <w:top w:val="nil"/>
              <w:left w:val="nil"/>
              <w:bottom w:val="nil"/>
              <w:right w:val="nil"/>
            </w:tcBorders>
            <w:noWrap/>
            <w:tcMar>
              <w:top w:w="15" w:type="dxa"/>
              <w:left w:w="15" w:type="dxa"/>
              <w:bottom w:w="0" w:type="dxa"/>
              <w:right w:w="15" w:type="dxa"/>
            </w:tcMar>
            <w:vAlign w:val="bottom"/>
          </w:tcPr>
          <w:p w14:paraId="7B95E77E">
            <w:pPr>
              <w:rPr>
                <w:rFonts w:ascii="宋体" w:hAnsi="宋体" w:cs="宋体"/>
                <w:color w:val="auto"/>
                <w:sz w:val="24"/>
                <w:szCs w:val="24"/>
                <w:highlight w:val="none"/>
              </w:rPr>
            </w:pPr>
          </w:p>
        </w:tc>
      </w:tr>
      <w:tr w14:paraId="605F063D">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0FF6727">
            <w:pPr>
              <w:rPr>
                <w:rFonts w:ascii="宋体" w:hAnsi="宋体" w:cs="宋体"/>
                <w:color w:val="auto"/>
                <w:sz w:val="24"/>
                <w:szCs w:val="24"/>
                <w:highlight w:val="none"/>
              </w:rPr>
            </w:pPr>
            <w:r>
              <w:rPr>
                <w:rFonts w:hint="eastAsia" w:ascii="宋体" w:hAnsi="宋体"/>
                <w:color w:val="auto"/>
                <w:sz w:val="24"/>
                <w:szCs w:val="24"/>
                <w:highlight w:val="none"/>
              </w:rPr>
              <w:t>地址:</w:t>
            </w:r>
          </w:p>
        </w:tc>
        <w:tc>
          <w:tcPr>
            <w:tcW w:w="5747" w:type="dxa"/>
            <w:tcBorders>
              <w:top w:val="nil"/>
              <w:left w:val="nil"/>
              <w:bottom w:val="nil"/>
              <w:right w:val="nil"/>
            </w:tcBorders>
            <w:noWrap/>
            <w:tcMar>
              <w:top w:w="15" w:type="dxa"/>
              <w:left w:w="15" w:type="dxa"/>
              <w:bottom w:w="0" w:type="dxa"/>
              <w:right w:w="15" w:type="dxa"/>
            </w:tcMar>
            <w:vAlign w:val="bottom"/>
          </w:tcPr>
          <w:p w14:paraId="4CCBDC47">
            <w:pPr>
              <w:rPr>
                <w:rFonts w:ascii="宋体" w:hAnsi="宋体" w:cs="宋体"/>
                <w:color w:val="auto"/>
                <w:sz w:val="24"/>
                <w:szCs w:val="24"/>
                <w:highlight w:val="none"/>
              </w:rPr>
            </w:pPr>
          </w:p>
        </w:tc>
      </w:tr>
      <w:tr w14:paraId="70D2693B">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A06E94F">
            <w:pPr>
              <w:rPr>
                <w:rFonts w:ascii="宋体" w:hAnsi="宋体" w:cs="宋体"/>
                <w:color w:val="auto"/>
                <w:sz w:val="24"/>
                <w:szCs w:val="24"/>
                <w:highlight w:val="none"/>
              </w:rPr>
            </w:pPr>
            <w:r>
              <w:rPr>
                <w:rFonts w:hint="eastAsia" w:ascii="宋体" w:hAnsi="宋体"/>
                <w:color w:val="auto"/>
                <w:sz w:val="24"/>
                <w:szCs w:val="24"/>
                <w:highlight w:val="none"/>
              </w:rPr>
              <w:t>邮编:</w:t>
            </w:r>
          </w:p>
        </w:tc>
        <w:tc>
          <w:tcPr>
            <w:tcW w:w="5747" w:type="dxa"/>
            <w:tcBorders>
              <w:top w:val="nil"/>
              <w:left w:val="nil"/>
              <w:bottom w:val="nil"/>
              <w:right w:val="nil"/>
            </w:tcBorders>
            <w:noWrap/>
            <w:tcMar>
              <w:top w:w="15" w:type="dxa"/>
              <w:left w:w="15" w:type="dxa"/>
              <w:bottom w:w="0" w:type="dxa"/>
              <w:right w:w="15" w:type="dxa"/>
            </w:tcMar>
            <w:vAlign w:val="bottom"/>
          </w:tcPr>
          <w:p w14:paraId="03E248FD">
            <w:pPr>
              <w:rPr>
                <w:rFonts w:ascii="宋体" w:hAnsi="宋体"/>
                <w:color w:val="auto"/>
                <w:sz w:val="24"/>
                <w:szCs w:val="24"/>
                <w:highlight w:val="none"/>
              </w:rPr>
            </w:pPr>
          </w:p>
        </w:tc>
      </w:tr>
      <w:tr w14:paraId="5D7B9131">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22149FF8">
            <w:pPr>
              <w:rPr>
                <w:rFonts w:ascii="宋体" w:hAnsi="宋体" w:cs="宋体"/>
                <w:color w:val="auto"/>
                <w:sz w:val="24"/>
                <w:szCs w:val="24"/>
                <w:highlight w:val="none"/>
              </w:rPr>
            </w:pPr>
            <w:r>
              <w:rPr>
                <w:rFonts w:hint="eastAsia" w:ascii="宋体" w:hAnsi="宋体"/>
                <w:color w:val="auto"/>
                <w:sz w:val="24"/>
                <w:szCs w:val="24"/>
                <w:highlight w:val="none"/>
              </w:rPr>
              <w:t>电话:</w:t>
            </w:r>
          </w:p>
        </w:tc>
        <w:tc>
          <w:tcPr>
            <w:tcW w:w="5747" w:type="dxa"/>
            <w:tcBorders>
              <w:top w:val="nil"/>
              <w:left w:val="nil"/>
              <w:bottom w:val="nil"/>
              <w:right w:val="nil"/>
            </w:tcBorders>
            <w:noWrap/>
            <w:tcMar>
              <w:top w:w="15" w:type="dxa"/>
              <w:left w:w="15" w:type="dxa"/>
              <w:bottom w:w="0" w:type="dxa"/>
              <w:right w:w="15" w:type="dxa"/>
            </w:tcMar>
            <w:vAlign w:val="bottom"/>
          </w:tcPr>
          <w:p w14:paraId="38D66F12">
            <w:pPr>
              <w:rPr>
                <w:rFonts w:ascii="宋体" w:hAnsi="宋体"/>
                <w:color w:val="auto"/>
                <w:sz w:val="24"/>
                <w:szCs w:val="24"/>
                <w:highlight w:val="none"/>
              </w:rPr>
            </w:pPr>
          </w:p>
        </w:tc>
      </w:tr>
      <w:tr w14:paraId="3E3E63A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2897CF3">
            <w:pPr>
              <w:rPr>
                <w:rFonts w:ascii="宋体" w:hAnsi="宋体" w:cs="宋体"/>
                <w:color w:val="auto"/>
                <w:sz w:val="24"/>
                <w:szCs w:val="24"/>
                <w:highlight w:val="none"/>
              </w:rPr>
            </w:pPr>
            <w:r>
              <w:rPr>
                <w:rFonts w:hint="eastAsia" w:ascii="宋体" w:hAnsi="宋体"/>
                <w:color w:val="auto"/>
                <w:sz w:val="24"/>
                <w:szCs w:val="24"/>
                <w:highlight w:val="none"/>
              </w:rPr>
              <w:t>传真:</w:t>
            </w:r>
          </w:p>
        </w:tc>
        <w:tc>
          <w:tcPr>
            <w:tcW w:w="5747" w:type="dxa"/>
            <w:tcBorders>
              <w:top w:val="nil"/>
              <w:left w:val="nil"/>
              <w:bottom w:val="nil"/>
              <w:right w:val="nil"/>
            </w:tcBorders>
            <w:noWrap/>
            <w:tcMar>
              <w:top w:w="15" w:type="dxa"/>
              <w:left w:w="15" w:type="dxa"/>
              <w:bottom w:w="0" w:type="dxa"/>
              <w:right w:w="15" w:type="dxa"/>
            </w:tcMar>
            <w:vAlign w:val="bottom"/>
          </w:tcPr>
          <w:p w14:paraId="55680353">
            <w:pPr>
              <w:rPr>
                <w:rFonts w:ascii="宋体" w:hAnsi="宋体"/>
                <w:color w:val="auto"/>
                <w:sz w:val="24"/>
                <w:szCs w:val="24"/>
                <w:highlight w:val="none"/>
              </w:rPr>
            </w:pPr>
          </w:p>
        </w:tc>
      </w:tr>
      <w:tr w14:paraId="065B2BB1">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6D3EC14">
            <w:pPr>
              <w:rPr>
                <w:rFonts w:ascii="宋体" w:hAnsi="宋体" w:cs="宋体"/>
                <w:color w:val="auto"/>
                <w:sz w:val="24"/>
                <w:szCs w:val="24"/>
                <w:highlight w:val="none"/>
              </w:rPr>
            </w:pPr>
            <w:r>
              <w:rPr>
                <w:rFonts w:hint="eastAsia" w:ascii="宋体" w:hAnsi="宋体"/>
                <w:color w:val="auto"/>
                <w:sz w:val="24"/>
                <w:szCs w:val="24"/>
                <w:highlight w:val="none"/>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32E54EC7">
            <w:pPr>
              <w:rPr>
                <w:rFonts w:ascii="宋体" w:hAnsi="宋体" w:cs="宋体"/>
                <w:color w:val="auto"/>
                <w:sz w:val="24"/>
                <w:szCs w:val="24"/>
                <w:highlight w:val="none"/>
              </w:rPr>
            </w:pPr>
          </w:p>
        </w:tc>
      </w:tr>
      <w:tr w14:paraId="565AB869">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96B516A">
            <w:pPr>
              <w:rPr>
                <w:rFonts w:ascii="宋体" w:hAnsi="宋体" w:cs="宋体"/>
                <w:color w:val="auto"/>
                <w:sz w:val="24"/>
                <w:szCs w:val="24"/>
                <w:highlight w:val="none"/>
              </w:rPr>
            </w:pPr>
            <w:r>
              <w:rPr>
                <w:rFonts w:hint="eastAsia" w:ascii="宋体" w:hAnsi="宋体"/>
                <w:color w:val="auto"/>
                <w:sz w:val="24"/>
                <w:szCs w:val="24"/>
                <w:highlight w:val="none"/>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02472189">
            <w:pPr>
              <w:rPr>
                <w:rFonts w:ascii="宋体" w:hAnsi="宋体" w:cs="宋体"/>
                <w:color w:val="auto"/>
                <w:sz w:val="24"/>
                <w:szCs w:val="24"/>
                <w:highlight w:val="none"/>
              </w:rPr>
            </w:pPr>
          </w:p>
        </w:tc>
      </w:tr>
      <w:tr w14:paraId="3DFA2E04">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89EE009">
            <w:pPr>
              <w:rPr>
                <w:rFonts w:ascii="宋体" w:hAnsi="宋体" w:cs="宋体"/>
                <w:color w:val="auto"/>
                <w:sz w:val="24"/>
                <w:szCs w:val="24"/>
                <w:highlight w:val="none"/>
              </w:rPr>
            </w:pPr>
            <w:r>
              <w:rPr>
                <w:rFonts w:hint="eastAsia" w:ascii="宋体" w:hAnsi="宋体"/>
                <w:color w:val="auto"/>
                <w:sz w:val="24"/>
                <w:szCs w:val="24"/>
                <w:highlight w:val="none"/>
              </w:rPr>
              <w:t>帐号:</w:t>
            </w:r>
          </w:p>
        </w:tc>
        <w:tc>
          <w:tcPr>
            <w:tcW w:w="5747" w:type="dxa"/>
            <w:tcBorders>
              <w:top w:val="nil"/>
              <w:left w:val="nil"/>
              <w:bottom w:val="nil"/>
              <w:right w:val="nil"/>
            </w:tcBorders>
            <w:noWrap/>
            <w:tcMar>
              <w:top w:w="15" w:type="dxa"/>
              <w:left w:w="15" w:type="dxa"/>
              <w:bottom w:w="0" w:type="dxa"/>
              <w:right w:w="15" w:type="dxa"/>
            </w:tcMar>
            <w:vAlign w:val="bottom"/>
          </w:tcPr>
          <w:p w14:paraId="6D45DDDF">
            <w:pPr>
              <w:rPr>
                <w:rFonts w:ascii="宋体" w:hAnsi="宋体"/>
                <w:color w:val="auto"/>
                <w:sz w:val="24"/>
                <w:szCs w:val="24"/>
                <w:highlight w:val="none"/>
              </w:rPr>
            </w:pPr>
          </w:p>
        </w:tc>
      </w:tr>
      <w:tr w14:paraId="018BD60B">
        <w:tblPrEx>
          <w:tblCellMar>
            <w:top w:w="0" w:type="dxa"/>
            <w:left w:w="0" w:type="dxa"/>
            <w:bottom w:w="0" w:type="dxa"/>
            <w:right w:w="0" w:type="dxa"/>
          </w:tblCellMar>
        </w:tblPrEx>
        <w:trPr>
          <w:trHeight w:val="1166" w:hRule="atLeast"/>
        </w:trPr>
        <w:tc>
          <w:tcPr>
            <w:tcW w:w="8295" w:type="dxa"/>
            <w:gridSpan w:val="2"/>
            <w:tcBorders>
              <w:top w:val="nil"/>
              <w:left w:val="nil"/>
              <w:bottom w:val="nil"/>
              <w:right w:val="nil"/>
            </w:tcBorders>
            <w:noWrap w:val="0"/>
            <w:tcMar>
              <w:top w:w="15" w:type="dxa"/>
              <w:left w:w="15" w:type="dxa"/>
              <w:bottom w:w="0" w:type="dxa"/>
              <w:right w:w="15" w:type="dxa"/>
            </w:tcMar>
            <w:vAlign w:val="bottom"/>
          </w:tcPr>
          <w:p w14:paraId="552A2A36">
            <w:pPr>
              <w:ind w:firstLine="480" w:firstLineChars="200"/>
              <w:jc w:val="left"/>
              <w:rPr>
                <w:rFonts w:ascii="宋体" w:hAnsi="宋体" w:cs="宋体"/>
                <w:color w:val="auto"/>
                <w:sz w:val="24"/>
                <w:szCs w:val="24"/>
                <w:highlight w:val="none"/>
              </w:rPr>
            </w:pPr>
            <w:r>
              <w:rPr>
                <w:rFonts w:hint="eastAsia"/>
                <w:color w:val="auto"/>
                <w:sz w:val="24"/>
                <w:szCs w:val="24"/>
                <w:highlight w:val="none"/>
              </w:rPr>
              <w:t>本合同依据西北（陕西）国际招标有限公司代理的政府采购项目（项目名称）</w:t>
            </w:r>
            <w:r>
              <w:rPr>
                <w:rFonts w:hint="eastAsia" w:eastAsia="宋体"/>
                <w:color w:val="auto"/>
                <w:sz w:val="24"/>
                <w:szCs w:val="24"/>
                <w:highlight w:val="none"/>
                <w:lang w:eastAsia="zh-CN"/>
              </w:rPr>
              <w:t>竞争性磋商</w:t>
            </w:r>
            <w:r>
              <w:rPr>
                <w:rFonts w:hint="eastAsia"/>
                <w:color w:val="auto"/>
                <w:sz w:val="24"/>
                <w:szCs w:val="24"/>
                <w:highlight w:val="none"/>
              </w:rPr>
              <w:t>（项目编号            ）的结果而签订。</w:t>
            </w:r>
          </w:p>
        </w:tc>
      </w:tr>
    </w:tbl>
    <w:p w14:paraId="47D4A48A">
      <w:pPr>
        <w:spacing w:line="360" w:lineRule="auto"/>
        <w:jc w:val="center"/>
        <w:rPr>
          <w:rFonts w:ascii="宋体" w:hAnsi="宋体"/>
          <w:b/>
          <w:color w:val="auto"/>
          <w:sz w:val="36"/>
          <w:szCs w:val="36"/>
          <w:highlight w:val="none"/>
        </w:rPr>
      </w:pPr>
      <w:r>
        <w:rPr>
          <w:rFonts w:ascii="宋体" w:hAnsi="宋体"/>
          <w:b/>
          <w:color w:val="auto"/>
          <w:sz w:val="36"/>
          <w:szCs w:val="36"/>
          <w:highlight w:val="none"/>
        </w:rPr>
        <w:t xml:space="preserve"> </w:t>
      </w:r>
    </w:p>
    <w:p w14:paraId="6C15F10A">
      <w:pPr>
        <w:spacing w:line="360" w:lineRule="auto"/>
        <w:rPr>
          <w:rFonts w:hint="eastAsia" w:ascii="宋体" w:hAnsi="宋体"/>
          <w:color w:val="auto"/>
          <w:sz w:val="30"/>
          <w:szCs w:val="30"/>
          <w:highlight w:val="none"/>
        </w:rPr>
      </w:pPr>
      <w:r>
        <w:rPr>
          <w:rFonts w:ascii="宋体" w:hAnsi="宋体"/>
          <w:b/>
          <w:color w:val="auto"/>
          <w:sz w:val="36"/>
          <w:szCs w:val="36"/>
          <w:highlight w:val="none"/>
        </w:rPr>
        <w:br w:type="page"/>
      </w:r>
      <w:r>
        <w:rPr>
          <w:rFonts w:hint="eastAsia" w:ascii="宋体" w:hAnsi="宋体"/>
          <w:color w:val="auto"/>
          <w:sz w:val="30"/>
          <w:szCs w:val="30"/>
          <w:highlight w:val="none"/>
        </w:rPr>
        <w:t>2、</w:t>
      </w:r>
      <w:r>
        <w:rPr>
          <w:rFonts w:hint="eastAsia" w:ascii="宋体" w:hAnsi="宋体"/>
          <w:color w:val="auto"/>
          <w:sz w:val="28"/>
          <w:szCs w:val="28"/>
          <w:highlight w:val="none"/>
        </w:rPr>
        <w:t>合同协议书格式</w:t>
      </w:r>
    </w:p>
    <w:p w14:paraId="629E2261">
      <w:pPr>
        <w:spacing w:after="156" w:afterLines="50"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 </w:t>
      </w:r>
    </w:p>
    <w:p w14:paraId="3696694F">
      <w:pPr>
        <w:spacing w:after="156" w:afterLines="50" w:line="360" w:lineRule="auto"/>
        <w:ind w:firstLine="420" w:firstLineChars="200"/>
        <w:rPr>
          <w:rFonts w:hint="eastAsia" w:ascii="宋体" w:hAnsi="宋体"/>
          <w:color w:val="auto"/>
          <w:sz w:val="24"/>
          <w:szCs w:val="24"/>
          <w:highlight w:val="none"/>
        </w:rPr>
      </w:pPr>
      <w:r>
        <w:rPr>
          <w:rFonts w:hint="eastAsia" w:ascii="宋体" w:hAnsi="宋体"/>
          <w:color w:val="auto"/>
          <w:szCs w:val="21"/>
          <w:highlight w:val="none"/>
        </w:rPr>
        <w:t xml:space="preserve"> </w:t>
      </w:r>
      <w:r>
        <w:rPr>
          <w:rFonts w:hint="eastAsia" w:ascii="宋体" w:hAnsi="宋体"/>
          <w:color w:val="auto"/>
          <w:sz w:val="24"/>
          <w:szCs w:val="24"/>
          <w:highlight w:val="none"/>
        </w:rPr>
        <w:t>本合同于</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年</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月</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日由</w:t>
      </w:r>
      <w:r>
        <w:rPr>
          <w:rFonts w:hint="eastAsia" w:ascii="宋体" w:hAnsi="宋体"/>
          <w:color w:val="auto"/>
          <w:sz w:val="24"/>
          <w:szCs w:val="24"/>
          <w:highlight w:val="none"/>
          <w:u w:val="single"/>
        </w:rPr>
        <w:t>（</w:t>
      </w:r>
      <w:r>
        <w:rPr>
          <w:rFonts w:hint="eastAsia" w:ascii="宋体" w:hAnsi="宋体"/>
          <w:color w:val="auto"/>
          <w:sz w:val="24"/>
          <w:szCs w:val="24"/>
          <w:highlight w:val="none"/>
          <w:u w:val="single"/>
          <w:lang w:eastAsia="zh-CN"/>
        </w:rPr>
        <w:t>买</w:t>
      </w:r>
      <w:r>
        <w:rPr>
          <w:rFonts w:hint="eastAsia" w:ascii="宋体" w:hAnsi="宋体"/>
          <w:color w:val="auto"/>
          <w:sz w:val="24"/>
          <w:szCs w:val="24"/>
          <w:highlight w:val="none"/>
          <w:u w:val="single"/>
        </w:rPr>
        <w:t>方名称）</w:t>
      </w:r>
      <w:r>
        <w:rPr>
          <w:rFonts w:hint="eastAsia" w:ascii="宋体" w:hAnsi="宋体"/>
          <w:color w:val="auto"/>
          <w:sz w:val="24"/>
          <w:szCs w:val="24"/>
          <w:highlight w:val="none"/>
        </w:rPr>
        <w:t>（以下简称“</w:t>
      </w:r>
      <w:r>
        <w:rPr>
          <w:rFonts w:hint="eastAsia" w:ascii="宋体" w:hAnsi="宋体"/>
          <w:color w:val="auto"/>
          <w:sz w:val="24"/>
          <w:szCs w:val="24"/>
          <w:highlight w:val="none"/>
          <w:lang w:eastAsia="zh-CN"/>
        </w:rPr>
        <w:t>买</w:t>
      </w:r>
      <w:r>
        <w:rPr>
          <w:rFonts w:hint="eastAsia" w:ascii="宋体" w:hAnsi="宋体"/>
          <w:color w:val="auto"/>
          <w:sz w:val="24"/>
          <w:szCs w:val="24"/>
          <w:highlight w:val="none"/>
        </w:rPr>
        <w:t>方”）和</w:t>
      </w:r>
      <w:r>
        <w:rPr>
          <w:rFonts w:hint="eastAsia" w:ascii="宋体" w:hAnsi="宋体"/>
          <w:color w:val="auto"/>
          <w:sz w:val="24"/>
          <w:szCs w:val="24"/>
          <w:highlight w:val="none"/>
          <w:u w:val="single"/>
        </w:rPr>
        <w:t>（</w:t>
      </w:r>
      <w:r>
        <w:rPr>
          <w:rFonts w:hint="eastAsia" w:ascii="宋体" w:hAnsi="宋体"/>
          <w:color w:val="auto"/>
          <w:sz w:val="24"/>
          <w:szCs w:val="24"/>
          <w:highlight w:val="none"/>
          <w:u w:val="single"/>
          <w:lang w:eastAsia="zh-CN"/>
        </w:rPr>
        <w:t>卖</w:t>
      </w:r>
      <w:r>
        <w:rPr>
          <w:rFonts w:hint="eastAsia" w:ascii="宋体" w:hAnsi="宋体"/>
          <w:color w:val="auto"/>
          <w:sz w:val="24"/>
          <w:szCs w:val="24"/>
          <w:highlight w:val="none"/>
          <w:u w:val="single"/>
        </w:rPr>
        <w:t>方名称）</w:t>
      </w:r>
      <w:r>
        <w:rPr>
          <w:rFonts w:hint="eastAsia" w:ascii="宋体" w:hAnsi="宋体"/>
          <w:color w:val="auto"/>
          <w:sz w:val="24"/>
          <w:szCs w:val="24"/>
          <w:highlight w:val="none"/>
        </w:rPr>
        <w:t>（以下简称“</w:t>
      </w:r>
      <w:r>
        <w:rPr>
          <w:rFonts w:hint="eastAsia" w:ascii="宋体" w:hAnsi="宋体"/>
          <w:color w:val="auto"/>
          <w:sz w:val="24"/>
          <w:szCs w:val="24"/>
          <w:highlight w:val="none"/>
          <w:lang w:eastAsia="zh-CN"/>
        </w:rPr>
        <w:t>卖</w:t>
      </w:r>
      <w:r>
        <w:rPr>
          <w:rFonts w:hint="eastAsia" w:ascii="宋体" w:hAnsi="宋体"/>
          <w:color w:val="auto"/>
          <w:sz w:val="24"/>
          <w:szCs w:val="24"/>
          <w:highlight w:val="none"/>
        </w:rPr>
        <w:t>方”）按下述条款和条件签署。</w:t>
      </w:r>
    </w:p>
    <w:p w14:paraId="46141A4D">
      <w:pPr>
        <w:numPr>
          <w:ilvl w:val="2"/>
          <w:numId w:val="0"/>
        </w:numPr>
        <w:tabs>
          <w:tab w:val="left" w:pos="720"/>
        </w:tabs>
        <w:spacing w:after="156" w:afterLines="50" w:line="360" w:lineRule="auto"/>
        <w:ind w:left="720" w:leftChars="0" w:hanging="360" w:firstLineChars="0"/>
        <w:rPr>
          <w:rFonts w:hint="eastAsia" w:ascii="宋体" w:hAnsi="宋体"/>
          <w:color w:val="auto"/>
          <w:sz w:val="24"/>
          <w:szCs w:val="24"/>
          <w:highlight w:val="none"/>
        </w:rPr>
      </w:pPr>
      <w:r>
        <w:rPr>
          <w:rFonts w:hint="default" w:ascii="宋体" w:hAnsi="宋体"/>
          <w:color w:val="auto"/>
          <w:kern w:val="2"/>
          <w:sz w:val="24"/>
          <w:szCs w:val="24"/>
          <w:highlight w:val="none"/>
          <w:lang w:val="en-US" w:eastAsia="zh-CN" w:bidi="ar-SA"/>
        </w:rPr>
        <w:t>1.</w:t>
      </w:r>
      <w:r>
        <w:rPr>
          <w:rFonts w:hint="eastAsia" w:ascii="宋体" w:hAnsi="宋体"/>
          <w:color w:val="auto"/>
          <w:sz w:val="24"/>
          <w:szCs w:val="24"/>
          <w:highlight w:val="none"/>
        </w:rPr>
        <w:t>本合同中的词语和术语的含义与合同条款中定义的相同。</w:t>
      </w:r>
    </w:p>
    <w:p w14:paraId="07D6712D">
      <w:pPr>
        <w:numPr>
          <w:ilvl w:val="2"/>
          <w:numId w:val="0"/>
        </w:numPr>
        <w:tabs>
          <w:tab w:val="left" w:pos="720"/>
        </w:tabs>
        <w:spacing w:after="156" w:afterLines="50" w:line="360" w:lineRule="auto"/>
        <w:ind w:left="720" w:leftChars="0" w:hanging="360" w:firstLineChars="0"/>
        <w:rPr>
          <w:rFonts w:hint="eastAsia" w:ascii="宋体" w:hAnsi="宋体"/>
          <w:color w:val="auto"/>
          <w:sz w:val="24"/>
          <w:szCs w:val="24"/>
          <w:highlight w:val="none"/>
        </w:rPr>
      </w:pPr>
      <w:r>
        <w:rPr>
          <w:rFonts w:hint="default" w:ascii="宋体" w:hAnsi="宋体"/>
          <w:color w:val="auto"/>
          <w:kern w:val="2"/>
          <w:sz w:val="24"/>
          <w:szCs w:val="24"/>
          <w:highlight w:val="none"/>
          <w:lang w:val="en-US" w:eastAsia="zh-CN" w:bidi="ar-SA"/>
        </w:rPr>
        <w:t>2.</w:t>
      </w:r>
      <w:r>
        <w:rPr>
          <w:rFonts w:hint="eastAsia" w:ascii="宋体" w:hAnsi="宋体"/>
          <w:color w:val="auto"/>
          <w:sz w:val="24"/>
          <w:szCs w:val="24"/>
          <w:highlight w:val="none"/>
        </w:rPr>
        <w:t>下列文件是本合同的组成部分，并与本合同一起阅读和解释：</w:t>
      </w:r>
    </w:p>
    <w:p w14:paraId="0E0204A5">
      <w:pPr>
        <w:numPr>
          <w:ilvl w:val="0"/>
          <w:numId w:val="1"/>
        </w:numPr>
        <w:tabs>
          <w:tab w:val="left" w:pos="1080"/>
          <w:tab w:val="clear" w:pos="1680"/>
        </w:tabs>
        <w:spacing w:after="156" w:afterLines="50" w:line="360" w:lineRule="auto"/>
        <w:ind w:left="1080" w:hanging="360"/>
        <w:rPr>
          <w:rFonts w:hint="eastAsia" w:ascii="宋体" w:hAnsi="宋体"/>
          <w:color w:val="auto"/>
          <w:sz w:val="24"/>
          <w:szCs w:val="24"/>
          <w:highlight w:val="none"/>
        </w:rPr>
      </w:pPr>
      <w:r>
        <w:rPr>
          <w:rFonts w:hint="eastAsia" w:ascii="宋体" w:hAnsi="宋体"/>
          <w:color w:val="auto"/>
          <w:sz w:val="24"/>
          <w:szCs w:val="24"/>
          <w:highlight w:val="none"/>
        </w:rPr>
        <w:t>合同附件，如：</w:t>
      </w:r>
    </w:p>
    <w:p w14:paraId="5BEA818D">
      <w:pPr>
        <w:numPr>
          <w:ilvl w:val="1"/>
          <w:numId w:val="2"/>
        </w:numPr>
        <w:spacing w:after="156" w:afterLines="50" w:line="360" w:lineRule="auto"/>
        <w:rPr>
          <w:rFonts w:hint="eastAsia" w:ascii="宋体" w:hAnsi="宋体"/>
          <w:color w:val="auto"/>
          <w:sz w:val="24"/>
          <w:szCs w:val="24"/>
          <w:highlight w:val="none"/>
        </w:rPr>
      </w:pPr>
      <w:r>
        <w:rPr>
          <w:rFonts w:hint="eastAsia" w:ascii="宋体" w:hAnsi="宋体"/>
          <w:color w:val="auto"/>
          <w:sz w:val="24"/>
          <w:szCs w:val="24"/>
          <w:highlight w:val="none"/>
          <w:lang w:val="en-US" w:eastAsia="zh-CN"/>
        </w:rPr>
        <w:t>服务</w:t>
      </w:r>
      <w:r>
        <w:rPr>
          <w:rFonts w:hint="eastAsia" w:ascii="宋体" w:hAnsi="宋体"/>
          <w:color w:val="auto"/>
          <w:sz w:val="24"/>
          <w:szCs w:val="24"/>
          <w:highlight w:val="none"/>
        </w:rPr>
        <w:t>内容</w:t>
      </w:r>
      <w:r>
        <w:rPr>
          <w:rFonts w:hint="eastAsia" w:ascii="宋体" w:hAnsi="宋体"/>
          <w:color w:val="auto"/>
          <w:sz w:val="24"/>
          <w:szCs w:val="24"/>
          <w:highlight w:val="none"/>
          <w:lang w:eastAsia="zh-CN"/>
        </w:rPr>
        <w:t>及</w:t>
      </w:r>
      <w:r>
        <w:rPr>
          <w:rFonts w:hint="eastAsia" w:ascii="宋体" w:hAnsi="宋体"/>
          <w:color w:val="auto"/>
          <w:sz w:val="24"/>
          <w:szCs w:val="24"/>
          <w:highlight w:val="none"/>
        </w:rPr>
        <w:t>价格</w:t>
      </w:r>
    </w:p>
    <w:p w14:paraId="2FD9E0A2">
      <w:pPr>
        <w:numPr>
          <w:ilvl w:val="1"/>
          <w:numId w:val="2"/>
        </w:numPr>
        <w:spacing w:after="156" w:afterLines="50" w:line="360" w:lineRule="auto"/>
        <w:rPr>
          <w:rFonts w:hint="eastAsia" w:ascii="宋体" w:hAnsi="宋体"/>
          <w:color w:val="auto"/>
          <w:sz w:val="24"/>
          <w:szCs w:val="24"/>
          <w:highlight w:val="none"/>
        </w:rPr>
      </w:pPr>
      <w:r>
        <w:rPr>
          <w:rFonts w:hint="eastAsia" w:ascii="宋体" w:hAnsi="宋体"/>
          <w:color w:val="auto"/>
          <w:sz w:val="24"/>
          <w:szCs w:val="24"/>
          <w:highlight w:val="none"/>
          <w:lang w:val="en-US" w:eastAsia="zh-CN"/>
        </w:rPr>
        <w:t>服务标准、流程</w:t>
      </w:r>
    </w:p>
    <w:p w14:paraId="7ADDC430">
      <w:pPr>
        <w:numPr>
          <w:ilvl w:val="1"/>
          <w:numId w:val="2"/>
        </w:numPr>
        <w:spacing w:after="156" w:afterLines="50" w:line="360" w:lineRule="auto"/>
        <w:rPr>
          <w:rFonts w:hint="eastAsia" w:ascii="宋体" w:hAnsi="宋体"/>
          <w:color w:val="auto"/>
          <w:sz w:val="24"/>
          <w:szCs w:val="24"/>
          <w:highlight w:val="none"/>
        </w:rPr>
      </w:pPr>
      <w:r>
        <w:rPr>
          <w:rFonts w:hint="eastAsia" w:ascii="宋体" w:hAnsi="宋体"/>
          <w:color w:val="auto"/>
          <w:sz w:val="24"/>
          <w:szCs w:val="24"/>
          <w:highlight w:val="none"/>
          <w:lang w:eastAsia="zh-CN"/>
        </w:rPr>
        <w:t>开始和结束时间</w:t>
      </w:r>
    </w:p>
    <w:p w14:paraId="596CD60B">
      <w:pPr>
        <w:numPr>
          <w:ilvl w:val="0"/>
          <w:numId w:val="1"/>
        </w:numPr>
        <w:tabs>
          <w:tab w:val="left" w:pos="1080"/>
          <w:tab w:val="clear" w:pos="1680"/>
        </w:tabs>
        <w:spacing w:after="156" w:afterLines="50" w:line="360" w:lineRule="auto"/>
        <w:ind w:left="1080" w:hanging="360"/>
        <w:rPr>
          <w:rFonts w:hint="eastAsia" w:ascii="宋体" w:hAnsi="宋体"/>
          <w:color w:val="auto"/>
          <w:sz w:val="24"/>
          <w:szCs w:val="24"/>
          <w:highlight w:val="none"/>
        </w:rPr>
      </w:pPr>
      <w:r>
        <w:rPr>
          <w:rFonts w:hint="eastAsia" w:ascii="宋体" w:hAnsi="宋体"/>
          <w:color w:val="auto"/>
          <w:sz w:val="24"/>
          <w:szCs w:val="24"/>
          <w:highlight w:val="none"/>
        </w:rPr>
        <w:t>合同专用条款</w:t>
      </w:r>
    </w:p>
    <w:p w14:paraId="78436C33">
      <w:pPr>
        <w:numPr>
          <w:ilvl w:val="0"/>
          <w:numId w:val="1"/>
        </w:numPr>
        <w:tabs>
          <w:tab w:val="left" w:pos="1080"/>
          <w:tab w:val="clear" w:pos="1680"/>
        </w:tabs>
        <w:spacing w:after="156" w:afterLines="50" w:line="360" w:lineRule="auto"/>
        <w:ind w:left="1080" w:hanging="360"/>
        <w:rPr>
          <w:rFonts w:hint="eastAsia" w:ascii="宋体" w:hAnsi="宋体"/>
          <w:color w:val="auto"/>
          <w:sz w:val="24"/>
          <w:szCs w:val="24"/>
          <w:highlight w:val="none"/>
        </w:rPr>
      </w:pPr>
      <w:r>
        <w:rPr>
          <w:rFonts w:hint="eastAsia" w:ascii="宋体" w:hAnsi="宋体"/>
          <w:color w:val="auto"/>
          <w:sz w:val="24"/>
          <w:szCs w:val="24"/>
          <w:highlight w:val="none"/>
        </w:rPr>
        <w:t>合同通用条款</w:t>
      </w:r>
    </w:p>
    <w:p w14:paraId="2D481C96">
      <w:pPr>
        <w:numPr>
          <w:ilvl w:val="0"/>
          <w:numId w:val="1"/>
        </w:numPr>
        <w:tabs>
          <w:tab w:val="left" w:pos="1080"/>
          <w:tab w:val="clear" w:pos="1680"/>
        </w:tabs>
        <w:spacing w:after="156" w:afterLines="50" w:line="360" w:lineRule="auto"/>
        <w:ind w:left="1080" w:hanging="360"/>
        <w:rPr>
          <w:rFonts w:hint="eastAsia" w:ascii="宋体" w:hAnsi="宋体"/>
          <w:color w:val="auto"/>
          <w:sz w:val="24"/>
          <w:szCs w:val="24"/>
          <w:highlight w:val="none"/>
        </w:rPr>
      </w:pPr>
      <w:r>
        <w:rPr>
          <w:rFonts w:hint="eastAsia" w:ascii="宋体" w:hAnsi="宋体" w:eastAsia="宋体"/>
          <w:color w:val="auto"/>
          <w:sz w:val="24"/>
          <w:szCs w:val="24"/>
          <w:highlight w:val="none"/>
          <w:lang w:eastAsia="zh-CN"/>
        </w:rPr>
        <w:t>成交</w:t>
      </w:r>
      <w:r>
        <w:rPr>
          <w:rFonts w:hint="eastAsia" w:ascii="宋体" w:hAnsi="宋体"/>
          <w:color w:val="auto"/>
          <w:sz w:val="24"/>
          <w:szCs w:val="24"/>
          <w:highlight w:val="none"/>
        </w:rPr>
        <w:t>通知书</w:t>
      </w:r>
      <w:bookmarkStart w:id="6" w:name="_GoBack"/>
      <w:bookmarkEnd w:id="6"/>
    </w:p>
    <w:p w14:paraId="0703AFB8">
      <w:pPr>
        <w:numPr>
          <w:ilvl w:val="0"/>
          <w:numId w:val="1"/>
        </w:numPr>
        <w:tabs>
          <w:tab w:val="left" w:pos="1080"/>
          <w:tab w:val="clear" w:pos="1680"/>
        </w:tabs>
        <w:spacing w:after="156" w:afterLines="50" w:line="360" w:lineRule="auto"/>
        <w:ind w:left="1080" w:hanging="360"/>
        <w:rPr>
          <w:rFonts w:hint="eastAsia" w:ascii="宋体" w:hAnsi="宋体"/>
          <w:color w:val="auto"/>
          <w:sz w:val="24"/>
          <w:szCs w:val="24"/>
          <w:highlight w:val="none"/>
        </w:rPr>
      </w:pPr>
      <w:r>
        <w:rPr>
          <w:rFonts w:hint="eastAsia" w:ascii="宋体" w:hAnsi="宋体" w:eastAsia="宋体"/>
          <w:color w:val="auto"/>
          <w:sz w:val="24"/>
          <w:szCs w:val="24"/>
          <w:highlight w:val="none"/>
          <w:lang w:eastAsia="zh-CN"/>
        </w:rPr>
        <w:t>响应</w:t>
      </w:r>
      <w:r>
        <w:rPr>
          <w:rFonts w:hint="eastAsia" w:ascii="宋体" w:hAnsi="宋体"/>
          <w:color w:val="auto"/>
          <w:sz w:val="24"/>
          <w:szCs w:val="24"/>
          <w:highlight w:val="none"/>
        </w:rPr>
        <w:t>文件</w:t>
      </w:r>
    </w:p>
    <w:p w14:paraId="3FA30567">
      <w:pPr>
        <w:numPr>
          <w:ilvl w:val="0"/>
          <w:numId w:val="1"/>
        </w:numPr>
        <w:tabs>
          <w:tab w:val="left" w:pos="1080"/>
          <w:tab w:val="clear" w:pos="1680"/>
        </w:tabs>
        <w:spacing w:after="156" w:afterLines="50" w:line="360" w:lineRule="auto"/>
        <w:ind w:left="1080" w:hanging="360"/>
        <w:rPr>
          <w:rFonts w:hint="eastAsia" w:ascii="宋体" w:hAnsi="宋体"/>
          <w:color w:val="auto"/>
          <w:sz w:val="24"/>
          <w:szCs w:val="24"/>
          <w:highlight w:val="none"/>
        </w:rPr>
      </w:pPr>
      <w:r>
        <w:rPr>
          <w:rFonts w:hint="eastAsia" w:ascii="宋体" w:hAnsi="宋体" w:eastAsia="宋体"/>
          <w:color w:val="auto"/>
          <w:sz w:val="24"/>
          <w:szCs w:val="24"/>
          <w:highlight w:val="none"/>
          <w:lang w:eastAsia="zh-CN"/>
        </w:rPr>
        <w:t>磋商</w:t>
      </w:r>
      <w:r>
        <w:rPr>
          <w:rFonts w:hint="eastAsia" w:ascii="宋体" w:hAnsi="宋体"/>
          <w:color w:val="auto"/>
          <w:sz w:val="24"/>
          <w:szCs w:val="24"/>
          <w:highlight w:val="none"/>
        </w:rPr>
        <w:t>文件</w:t>
      </w:r>
    </w:p>
    <w:p w14:paraId="438E7D53">
      <w:pPr>
        <w:spacing w:after="156" w:afterLines="50" w:line="360" w:lineRule="auto"/>
        <w:ind w:left="720"/>
        <w:rPr>
          <w:rFonts w:hint="eastAsia" w:ascii="宋体" w:hAnsi="宋体"/>
          <w:color w:val="auto"/>
          <w:sz w:val="24"/>
          <w:szCs w:val="24"/>
          <w:highlight w:val="none"/>
        </w:rPr>
      </w:pPr>
      <w:r>
        <w:rPr>
          <w:rFonts w:hint="eastAsia" w:ascii="宋体" w:hAnsi="宋体"/>
          <w:color w:val="auto"/>
          <w:sz w:val="24"/>
          <w:szCs w:val="24"/>
          <w:highlight w:val="none"/>
        </w:rPr>
        <w:t>上述文件如有冲突，以排列序号小的优先。</w:t>
      </w:r>
    </w:p>
    <w:p w14:paraId="6D372508">
      <w:pPr>
        <w:keepNext w:val="0"/>
        <w:keepLines w:val="0"/>
        <w:pageBreakBefore w:val="0"/>
        <w:widowControl w:val="0"/>
        <w:numPr>
          <w:ilvl w:val="2"/>
          <w:numId w:val="0"/>
        </w:numPr>
        <w:tabs>
          <w:tab w:val="left" w:pos="720"/>
        </w:tabs>
        <w:kinsoku/>
        <w:wordWrap/>
        <w:overflowPunct/>
        <w:topLinePunct w:val="0"/>
        <w:autoSpaceDE/>
        <w:autoSpaceDN/>
        <w:bidi w:val="0"/>
        <w:adjustRightInd/>
        <w:snapToGrid/>
        <w:spacing w:after="156" w:afterLines="50" w:line="360" w:lineRule="auto"/>
        <w:ind w:left="0" w:leftChars="0" w:firstLine="480" w:firstLineChars="200"/>
        <w:textAlignment w:val="auto"/>
        <w:rPr>
          <w:rFonts w:hint="eastAsia" w:ascii="宋体" w:hAnsi="宋体"/>
          <w:color w:val="auto"/>
          <w:sz w:val="24"/>
          <w:szCs w:val="24"/>
          <w:highlight w:val="none"/>
        </w:rPr>
      </w:pPr>
      <w:r>
        <w:rPr>
          <w:rFonts w:hint="default" w:ascii="宋体" w:hAnsi="宋体"/>
          <w:color w:val="auto"/>
          <w:kern w:val="2"/>
          <w:sz w:val="24"/>
          <w:szCs w:val="24"/>
          <w:highlight w:val="none"/>
          <w:lang w:val="en-US" w:eastAsia="zh-CN" w:bidi="ar-SA"/>
        </w:rPr>
        <w:t>3.卖方在此保证全部按照合同的规定向买方提供服务，并修补缺陷，买方将按照本合同价款向卖方进行支付。</w:t>
      </w:r>
    </w:p>
    <w:p w14:paraId="76F906B7">
      <w:pPr>
        <w:keepNext w:val="0"/>
        <w:keepLines w:val="0"/>
        <w:pageBreakBefore w:val="0"/>
        <w:widowControl w:val="0"/>
        <w:numPr>
          <w:ilvl w:val="2"/>
          <w:numId w:val="0"/>
        </w:numPr>
        <w:tabs>
          <w:tab w:val="left" w:pos="720"/>
        </w:tabs>
        <w:kinsoku/>
        <w:wordWrap/>
        <w:overflowPunct/>
        <w:topLinePunct w:val="0"/>
        <w:autoSpaceDE/>
        <w:autoSpaceDN/>
        <w:bidi w:val="0"/>
        <w:adjustRightInd/>
        <w:snapToGrid/>
        <w:spacing w:after="156" w:afterLines="50" w:line="360" w:lineRule="auto"/>
        <w:ind w:left="0" w:leftChars="0" w:firstLine="480" w:firstLineChars="200"/>
        <w:textAlignment w:val="auto"/>
        <w:rPr>
          <w:rFonts w:hint="eastAsia" w:ascii="宋体" w:hAnsi="宋体"/>
          <w:color w:val="auto"/>
          <w:sz w:val="24"/>
          <w:szCs w:val="24"/>
          <w:highlight w:val="none"/>
        </w:rPr>
      </w:pPr>
      <w:r>
        <w:rPr>
          <w:rFonts w:hint="default" w:ascii="宋体" w:hAnsi="宋体"/>
          <w:color w:val="auto"/>
          <w:kern w:val="2"/>
          <w:sz w:val="24"/>
          <w:szCs w:val="24"/>
          <w:highlight w:val="none"/>
          <w:lang w:val="en-US" w:eastAsia="zh-CN" w:bidi="ar-SA"/>
        </w:rPr>
        <w:t>4.</w:t>
      </w:r>
      <w:r>
        <w:rPr>
          <w:rFonts w:hint="eastAsia" w:ascii="宋体" w:hAnsi="宋体"/>
          <w:color w:val="auto"/>
          <w:sz w:val="24"/>
          <w:szCs w:val="24"/>
          <w:highlight w:val="none"/>
        </w:rPr>
        <w:t>本合同正本一式二份，副本一式四份，均以中文书写，在双方代表签字盖章后生效。</w:t>
      </w:r>
    </w:p>
    <w:tbl>
      <w:tblPr>
        <w:tblStyle w:val="7"/>
        <w:tblW w:w="0" w:type="auto"/>
        <w:tblInd w:w="0" w:type="dxa"/>
        <w:tblLayout w:type="autofit"/>
        <w:tblCellMar>
          <w:top w:w="0" w:type="dxa"/>
          <w:left w:w="108" w:type="dxa"/>
          <w:bottom w:w="0" w:type="dxa"/>
          <w:right w:w="108" w:type="dxa"/>
        </w:tblCellMar>
      </w:tblPr>
      <w:tblGrid>
        <w:gridCol w:w="4255"/>
        <w:gridCol w:w="4255"/>
      </w:tblGrid>
      <w:tr w14:paraId="28B934DF">
        <w:tblPrEx>
          <w:tblCellMar>
            <w:top w:w="0" w:type="dxa"/>
            <w:left w:w="108" w:type="dxa"/>
            <w:bottom w:w="0" w:type="dxa"/>
            <w:right w:w="108" w:type="dxa"/>
          </w:tblCellMar>
        </w:tblPrEx>
        <w:trPr>
          <w:trHeight w:val="3727" w:hRule="atLeast"/>
        </w:trPr>
        <w:tc>
          <w:tcPr>
            <w:tcW w:w="4261" w:type="dxa"/>
            <w:noWrap w:val="0"/>
            <w:vAlign w:val="top"/>
          </w:tcPr>
          <w:p w14:paraId="26F3B239">
            <w:pPr>
              <w:spacing w:after="156" w:afterLines="50" w:line="360" w:lineRule="auto"/>
              <w:rPr>
                <w:rFonts w:hint="eastAsia" w:ascii="宋体" w:hAnsi="宋体"/>
                <w:color w:val="auto"/>
                <w:sz w:val="24"/>
                <w:highlight w:val="none"/>
                <w:u w:val="single"/>
              </w:rPr>
            </w:pPr>
            <w:r>
              <w:rPr>
                <w:rFonts w:hint="eastAsia" w:ascii="宋体" w:hAnsi="宋体"/>
                <w:color w:val="auto"/>
                <w:sz w:val="24"/>
                <w:highlight w:val="none"/>
              </w:rPr>
              <w:t>买方名称</w:t>
            </w:r>
            <w:r>
              <w:rPr>
                <w:rFonts w:hint="eastAsia" w:ascii="宋体" w:hAnsi="宋体"/>
                <w:color w:val="auto"/>
                <w:sz w:val="24"/>
                <w:highlight w:val="none"/>
                <w:u w:val="single"/>
              </w:rPr>
              <w:t xml:space="preserve">                         </w:t>
            </w:r>
          </w:p>
          <w:p w14:paraId="7CAF743D">
            <w:pPr>
              <w:spacing w:after="156" w:afterLines="50" w:line="360" w:lineRule="auto"/>
              <w:rPr>
                <w:rFonts w:hint="eastAsia" w:ascii="宋体" w:hAnsi="宋体"/>
                <w:color w:val="auto"/>
                <w:sz w:val="24"/>
                <w:highlight w:val="none"/>
              </w:rPr>
            </w:pPr>
            <w:r>
              <w:rPr>
                <w:rFonts w:hint="eastAsia" w:ascii="宋体" w:hAnsi="宋体"/>
                <w:color w:val="auto"/>
                <w:sz w:val="24"/>
                <w:highlight w:val="none"/>
              </w:rPr>
              <w:t>买方代表姓名</w:t>
            </w:r>
            <w:r>
              <w:rPr>
                <w:rFonts w:hint="eastAsia" w:ascii="宋体" w:hAnsi="宋体"/>
                <w:color w:val="auto"/>
                <w:sz w:val="24"/>
                <w:highlight w:val="none"/>
                <w:u w:val="single"/>
              </w:rPr>
              <w:t xml:space="preserve">                     </w:t>
            </w:r>
          </w:p>
          <w:p w14:paraId="4D2EA4CF">
            <w:pPr>
              <w:spacing w:after="156" w:afterLines="50" w:line="360" w:lineRule="auto"/>
              <w:rPr>
                <w:rFonts w:hint="eastAsia" w:ascii="宋体" w:hAnsi="宋体"/>
                <w:color w:val="auto"/>
                <w:sz w:val="24"/>
                <w:highlight w:val="none"/>
                <w:u w:val="single"/>
              </w:rPr>
            </w:pPr>
            <w:r>
              <w:rPr>
                <w:rFonts w:hint="eastAsia" w:ascii="宋体" w:hAnsi="宋体"/>
                <w:color w:val="auto"/>
                <w:sz w:val="24"/>
                <w:highlight w:val="none"/>
              </w:rPr>
              <w:t>买方代表签字</w:t>
            </w:r>
            <w:r>
              <w:rPr>
                <w:rFonts w:hint="eastAsia" w:ascii="宋体" w:hAnsi="宋体"/>
                <w:color w:val="auto"/>
                <w:sz w:val="24"/>
                <w:highlight w:val="none"/>
                <w:u w:val="single"/>
              </w:rPr>
              <w:t xml:space="preserve">                     </w:t>
            </w:r>
          </w:p>
          <w:p w14:paraId="458CD6E9">
            <w:pPr>
              <w:spacing w:after="156" w:afterLines="50" w:line="360" w:lineRule="auto"/>
              <w:rPr>
                <w:rFonts w:hint="eastAsia" w:ascii="宋体" w:hAnsi="宋体"/>
                <w:color w:val="auto"/>
                <w:sz w:val="24"/>
                <w:highlight w:val="none"/>
              </w:rPr>
            </w:pPr>
            <w:r>
              <w:rPr>
                <w:rFonts w:hint="eastAsia" w:ascii="宋体" w:hAnsi="宋体"/>
                <w:color w:val="auto"/>
                <w:sz w:val="24"/>
                <w:highlight w:val="none"/>
              </w:rPr>
              <w:t xml:space="preserve">签字日期 </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661E8107">
            <w:pPr>
              <w:spacing w:after="156" w:afterLines="50" w:line="360" w:lineRule="auto"/>
              <w:rPr>
                <w:rFonts w:hint="eastAsia" w:ascii="宋体" w:hAnsi="宋体"/>
                <w:color w:val="auto"/>
                <w:sz w:val="24"/>
                <w:highlight w:val="none"/>
              </w:rPr>
            </w:pPr>
            <w:r>
              <w:rPr>
                <w:rFonts w:hint="eastAsia" w:ascii="宋体" w:hAnsi="宋体"/>
                <w:color w:val="auto"/>
                <w:sz w:val="24"/>
                <w:highlight w:val="none"/>
              </w:rPr>
              <w:t xml:space="preserve">买方公章（或合同章） </w:t>
            </w:r>
            <w:r>
              <w:rPr>
                <w:rFonts w:hint="eastAsia" w:ascii="宋体" w:hAnsi="宋体"/>
                <w:color w:val="auto"/>
                <w:sz w:val="24"/>
                <w:highlight w:val="none"/>
                <w:u w:val="single"/>
              </w:rPr>
              <w:t xml:space="preserve">            </w:t>
            </w:r>
          </w:p>
        </w:tc>
        <w:tc>
          <w:tcPr>
            <w:tcW w:w="4261" w:type="dxa"/>
            <w:noWrap w:val="0"/>
            <w:vAlign w:val="top"/>
          </w:tcPr>
          <w:p w14:paraId="55564074">
            <w:pPr>
              <w:spacing w:after="156" w:afterLines="50" w:line="360" w:lineRule="auto"/>
              <w:rPr>
                <w:rFonts w:hint="eastAsia" w:ascii="宋体" w:hAnsi="宋体"/>
                <w:color w:val="auto"/>
                <w:sz w:val="24"/>
                <w:highlight w:val="none"/>
                <w:u w:val="single"/>
              </w:rPr>
            </w:pPr>
            <w:r>
              <w:rPr>
                <w:rFonts w:hint="eastAsia" w:ascii="宋体" w:hAnsi="宋体" w:eastAsia="宋体"/>
                <w:color w:val="auto"/>
                <w:sz w:val="24"/>
                <w:highlight w:val="none"/>
                <w:lang w:eastAsia="zh-CN"/>
              </w:rPr>
              <w:t>卖方</w:t>
            </w:r>
            <w:r>
              <w:rPr>
                <w:rFonts w:hint="eastAsia" w:ascii="宋体" w:hAnsi="宋体"/>
                <w:color w:val="auto"/>
                <w:sz w:val="24"/>
                <w:highlight w:val="none"/>
              </w:rPr>
              <w:t>名称</w:t>
            </w:r>
            <w:r>
              <w:rPr>
                <w:rFonts w:hint="eastAsia" w:ascii="宋体" w:hAnsi="宋体"/>
                <w:color w:val="auto"/>
                <w:sz w:val="24"/>
                <w:highlight w:val="none"/>
                <w:u w:val="single"/>
              </w:rPr>
              <w:t xml:space="preserve">                         </w:t>
            </w:r>
          </w:p>
          <w:p w14:paraId="21284C01">
            <w:pPr>
              <w:spacing w:after="156" w:afterLines="50" w:line="360" w:lineRule="auto"/>
              <w:rPr>
                <w:rFonts w:hint="eastAsia" w:ascii="宋体" w:hAnsi="宋体"/>
                <w:color w:val="auto"/>
                <w:sz w:val="24"/>
                <w:highlight w:val="none"/>
              </w:rPr>
            </w:pPr>
            <w:r>
              <w:rPr>
                <w:rFonts w:hint="eastAsia" w:ascii="宋体" w:hAnsi="宋体" w:eastAsia="宋体"/>
                <w:color w:val="auto"/>
                <w:sz w:val="24"/>
                <w:highlight w:val="none"/>
                <w:lang w:eastAsia="zh-CN"/>
              </w:rPr>
              <w:t>卖方</w:t>
            </w:r>
            <w:r>
              <w:rPr>
                <w:rFonts w:hint="eastAsia" w:ascii="宋体" w:hAnsi="宋体"/>
                <w:color w:val="auto"/>
                <w:sz w:val="24"/>
                <w:highlight w:val="none"/>
              </w:rPr>
              <w:t>代表姓名</w:t>
            </w:r>
            <w:r>
              <w:rPr>
                <w:rFonts w:hint="eastAsia" w:ascii="宋体" w:hAnsi="宋体"/>
                <w:color w:val="auto"/>
                <w:sz w:val="24"/>
                <w:highlight w:val="none"/>
                <w:u w:val="single"/>
              </w:rPr>
              <w:t xml:space="preserve">                     </w:t>
            </w:r>
          </w:p>
          <w:p w14:paraId="041888A3">
            <w:pPr>
              <w:spacing w:after="156" w:afterLines="50" w:line="360" w:lineRule="auto"/>
              <w:rPr>
                <w:rFonts w:hint="eastAsia" w:ascii="宋体" w:hAnsi="宋体"/>
                <w:color w:val="auto"/>
                <w:sz w:val="24"/>
                <w:highlight w:val="none"/>
                <w:u w:val="single"/>
              </w:rPr>
            </w:pPr>
            <w:r>
              <w:rPr>
                <w:rFonts w:hint="eastAsia" w:ascii="宋体" w:hAnsi="宋体" w:eastAsia="宋体"/>
                <w:color w:val="auto"/>
                <w:sz w:val="24"/>
                <w:highlight w:val="none"/>
                <w:lang w:eastAsia="zh-CN"/>
              </w:rPr>
              <w:t>卖方</w:t>
            </w:r>
            <w:r>
              <w:rPr>
                <w:rFonts w:hint="eastAsia" w:ascii="宋体" w:hAnsi="宋体"/>
                <w:color w:val="auto"/>
                <w:sz w:val="24"/>
                <w:highlight w:val="none"/>
              </w:rPr>
              <w:t>代表签字</w:t>
            </w:r>
            <w:r>
              <w:rPr>
                <w:rFonts w:hint="eastAsia" w:ascii="宋体" w:hAnsi="宋体"/>
                <w:color w:val="auto"/>
                <w:sz w:val="24"/>
                <w:highlight w:val="none"/>
                <w:u w:val="single"/>
              </w:rPr>
              <w:t xml:space="preserve">                     </w:t>
            </w:r>
          </w:p>
          <w:p w14:paraId="6738E774">
            <w:pPr>
              <w:spacing w:after="156" w:afterLines="50" w:line="360" w:lineRule="auto"/>
              <w:rPr>
                <w:rFonts w:hint="eastAsia" w:ascii="宋体" w:hAnsi="宋体"/>
                <w:color w:val="auto"/>
                <w:sz w:val="24"/>
                <w:highlight w:val="none"/>
              </w:rPr>
            </w:pPr>
            <w:r>
              <w:rPr>
                <w:rFonts w:hint="eastAsia" w:ascii="宋体" w:hAnsi="宋体"/>
                <w:color w:val="auto"/>
                <w:sz w:val="24"/>
                <w:highlight w:val="none"/>
              </w:rPr>
              <w:t xml:space="preserve">签字日期 </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0EB66415">
            <w:pPr>
              <w:spacing w:after="156" w:afterLines="50" w:line="360" w:lineRule="auto"/>
              <w:rPr>
                <w:rFonts w:hint="eastAsia" w:ascii="宋体" w:hAnsi="宋体"/>
                <w:color w:val="auto"/>
                <w:sz w:val="24"/>
                <w:highlight w:val="none"/>
              </w:rPr>
            </w:pPr>
            <w:r>
              <w:rPr>
                <w:rFonts w:hint="eastAsia" w:ascii="宋体" w:hAnsi="宋体" w:eastAsia="宋体"/>
                <w:color w:val="auto"/>
                <w:sz w:val="24"/>
                <w:highlight w:val="none"/>
                <w:lang w:eastAsia="zh-CN"/>
              </w:rPr>
              <w:t>卖方</w:t>
            </w:r>
            <w:r>
              <w:rPr>
                <w:rFonts w:hint="eastAsia" w:ascii="宋体" w:hAnsi="宋体"/>
                <w:color w:val="auto"/>
                <w:sz w:val="24"/>
                <w:highlight w:val="none"/>
              </w:rPr>
              <w:t xml:space="preserve">公章（或合同章） </w:t>
            </w:r>
            <w:r>
              <w:rPr>
                <w:rFonts w:hint="eastAsia" w:ascii="宋体" w:hAnsi="宋体"/>
                <w:color w:val="auto"/>
                <w:sz w:val="24"/>
                <w:highlight w:val="none"/>
                <w:u w:val="single"/>
              </w:rPr>
              <w:t xml:space="preserve">            </w:t>
            </w:r>
          </w:p>
        </w:tc>
      </w:tr>
    </w:tbl>
    <w:p w14:paraId="38E7C0F2">
      <w:pPr>
        <w:pStyle w:val="4"/>
        <w:spacing w:line="360" w:lineRule="auto"/>
        <w:ind w:left="1470" w:right="1470" w:firstLine="2100" w:firstLineChars="1000"/>
        <w:rPr>
          <w:color w:val="auto"/>
          <w:szCs w:val="21"/>
          <w:highlight w:val="none"/>
        </w:rPr>
      </w:pPr>
    </w:p>
    <w:p w14:paraId="71D8491A">
      <w:pPr>
        <w:pStyle w:val="3"/>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0"/>
        <w:textAlignment w:val="baseline"/>
        <w:rPr>
          <w:rFonts w:hint="eastAsia" w:ascii="宋体" w:hAnsi="宋体" w:eastAsia="宋体" w:cs="宋体"/>
          <w:b/>
          <w:bCs/>
          <w:spacing w:val="0"/>
          <w:position w:val="2"/>
          <w:sz w:val="28"/>
          <w:szCs w:val="28"/>
          <w:lang w:eastAsia="zh-CN"/>
        </w:rPr>
      </w:pPr>
    </w:p>
    <w:sectPr>
      <w:footerReference r:id="rId5" w:type="default"/>
      <w:pgSz w:w="11900" w:h="16840"/>
      <w:pgMar w:top="1440" w:right="1803" w:bottom="1440" w:left="1803" w:header="850" w:footer="964"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76CE4">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AE4A6E">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67AE4A6E">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4F7E27"/>
    <w:multiLevelType w:val="multilevel"/>
    <w:tmpl w:val="044F7E27"/>
    <w:lvl w:ilvl="0" w:tentative="0">
      <w:start w:val="1"/>
      <w:numFmt w:val="decimal"/>
      <w:lvlText w:val="%1."/>
      <w:lvlJc w:val="left"/>
      <w:pPr>
        <w:tabs>
          <w:tab w:val="left" w:pos="600"/>
        </w:tabs>
        <w:ind w:left="600" w:hanging="600"/>
      </w:pPr>
      <w:rPr>
        <w:rFonts w:hint="default"/>
      </w:rPr>
    </w:lvl>
    <w:lvl w:ilvl="1" w:tentative="0">
      <w:start w:val="1"/>
      <w:numFmt w:val="decimal"/>
      <w:lvlText w:val="%1.%2）"/>
      <w:lvlJc w:val="left"/>
      <w:pPr>
        <w:tabs>
          <w:tab w:val="left" w:pos="1440"/>
        </w:tabs>
        <w:ind w:left="1440" w:hanging="720"/>
      </w:pPr>
      <w:rPr>
        <w:rFonts w:hint="default"/>
      </w:rPr>
    </w:lvl>
    <w:lvl w:ilvl="2" w:tentative="0">
      <w:start w:val="1"/>
      <w:numFmt w:val="decimal"/>
      <w:lvlText w:val="%1.%2）%3."/>
      <w:lvlJc w:val="left"/>
      <w:pPr>
        <w:tabs>
          <w:tab w:val="left" w:pos="2520"/>
        </w:tabs>
        <w:ind w:left="2520" w:hanging="1080"/>
      </w:pPr>
      <w:rPr>
        <w:rFonts w:hint="default"/>
      </w:rPr>
    </w:lvl>
    <w:lvl w:ilvl="3" w:tentative="0">
      <w:start w:val="1"/>
      <w:numFmt w:val="decimal"/>
      <w:lvlText w:val="%1.%2）%3.%4."/>
      <w:lvlJc w:val="left"/>
      <w:pPr>
        <w:tabs>
          <w:tab w:val="left" w:pos="3240"/>
        </w:tabs>
        <w:ind w:left="3240" w:hanging="1080"/>
      </w:pPr>
      <w:rPr>
        <w:rFonts w:hint="default"/>
      </w:rPr>
    </w:lvl>
    <w:lvl w:ilvl="4" w:tentative="0">
      <w:start w:val="1"/>
      <w:numFmt w:val="decimal"/>
      <w:lvlText w:val="%1.%2）%3.%4.%5."/>
      <w:lvlJc w:val="left"/>
      <w:pPr>
        <w:tabs>
          <w:tab w:val="left" w:pos="4320"/>
        </w:tabs>
        <w:ind w:left="4320" w:hanging="1440"/>
      </w:pPr>
      <w:rPr>
        <w:rFonts w:hint="default"/>
      </w:rPr>
    </w:lvl>
    <w:lvl w:ilvl="5" w:tentative="0">
      <w:start w:val="1"/>
      <w:numFmt w:val="decimal"/>
      <w:lvlText w:val="%1.%2）%3.%4.%5.%6."/>
      <w:lvlJc w:val="left"/>
      <w:pPr>
        <w:tabs>
          <w:tab w:val="left" w:pos="5400"/>
        </w:tabs>
        <w:ind w:left="5400" w:hanging="1800"/>
      </w:pPr>
      <w:rPr>
        <w:rFonts w:hint="default"/>
      </w:rPr>
    </w:lvl>
    <w:lvl w:ilvl="6" w:tentative="0">
      <w:start w:val="1"/>
      <w:numFmt w:val="decimal"/>
      <w:lvlText w:val="%1.%2）%3.%4.%5.%6.%7."/>
      <w:lvlJc w:val="left"/>
      <w:pPr>
        <w:tabs>
          <w:tab w:val="left" w:pos="6120"/>
        </w:tabs>
        <w:ind w:left="6120" w:hanging="1800"/>
      </w:pPr>
      <w:rPr>
        <w:rFonts w:hint="default"/>
      </w:rPr>
    </w:lvl>
    <w:lvl w:ilvl="7" w:tentative="0">
      <w:start w:val="1"/>
      <w:numFmt w:val="decimal"/>
      <w:lvlText w:val="%1.%2）%3.%4.%5.%6.%7.%8."/>
      <w:lvlJc w:val="left"/>
      <w:pPr>
        <w:tabs>
          <w:tab w:val="left" w:pos="7200"/>
        </w:tabs>
        <w:ind w:left="7200" w:hanging="2160"/>
      </w:pPr>
      <w:rPr>
        <w:rFonts w:hint="default"/>
      </w:rPr>
    </w:lvl>
    <w:lvl w:ilvl="8" w:tentative="0">
      <w:start w:val="1"/>
      <w:numFmt w:val="decimal"/>
      <w:lvlText w:val="%1.%2）%3.%4.%5.%6.%7.%8.%9."/>
      <w:lvlJc w:val="left"/>
      <w:pPr>
        <w:tabs>
          <w:tab w:val="left" w:pos="8280"/>
        </w:tabs>
        <w:ind w:left="8280" w:hanging="2520"/>
      </w:pPr>
      <w:rPr>
        <w:rFonts w:hint="default"/>
      </w:rPr>
    </w:lvl>
  </w:abstractNum>
  <w:abstractNum w:abstractNumId="1">
    <w:nsid w:val="3E2E255E"/>
    <w:multiLevelType w:val="multilevel"/>
    <w:tmpl w:val="3E2E255E"/>
    <w:lvl w:ilvl="0" w:tentative="0">
      <w:start w:val="1"/>
      <w:numFmt w:val="decimal"/>
      <w:lvlText w:val="%1)"/>
      <w:lvlJc w:val="left"/>
      <w:pPr>
        <w:tabs>
          <w:tab w:val="left" w:pos="1680"/>
        </w:tabs>
        <w:ind w:left="1680" w:hanging="420"/>
      </w:pPr>
      <w:rPr>
        <w:rFonts w:hint="eastAsia"/>
      </w:rPr>
    </w:lvl>
    <w:lvl w:ilvl="1" w:tentative="0">
      <w:start w:val="1"/>
      <w:numFmt w:val="decimal"/>
      <w:lvlText w:val="%2．"/>
      <w:lvlJc w:val="left"/>
      <w:pPr>
        <w:tabs>
          <w:tab w:val="left" w:pos="270"/>
        </w:tabs>
        <w:ind w:left="270" w:hanging="720"/>
      </w:pPr>
      <w:rPr>
        <w:rFonts w:hint="default"/>
      </w:rPr>
    </w:lvl>
    <w:lvl w:ilvl="2" w:tentative="0">
      <w:start w:val="1"/>
      <w:numFmt w:val="lowerRoman"/>
      <w:lvlText w:val="%3."/>
      <w:lvlJc w:val="right"/>
      <w:pPr>
        <w:tabs>
          <w:tab w:val="left" w:pos="390"/>
        </w:tabs>
        <w:ind w:left="390" w:hanging="420"/>
      </w:pPr>
    </w:lvl>
    <w:lvl w:ilvl="3" w:tentative="0">
      <w:start w:val="8"/>
      <w:numFmt w:val="japaneseCounting"/>
      <w:lvlText w:val="第%4章"/>
      <w:lvlJc w:val="left"/>
      <w:pPr>
        <w:tabs>
          <w:tab w:val="left" w:pos="1470"/>
        </w:tabs>
        <w:ind w:left="1470" w:hanging="1080"/>
      </w:pPr>
      <w:rPr>
        <w:rFonts w:hint="eastAsia"/>
      </w:rPr>
    </w:lvl>
    <w:lvl w:ilvl="4" w:tentative="0">
      <w:start w:val="1"/>
      <w:numFmt w:val="japaneseCounting"/>
      <w:lvlText w:val="%5、"/>
      <w:lvlJc w:val="left"/>
      <w:pPr>
        <w:tabs>
          <w:tab w:val="left" w:pos="1290"/>
        </w:tabs>
        <w:ind w:left="1290" w:hanging="480"/>
      </w:pPr>
      <w:rPr>
        <w:rFonts w:hint="default"/>
        <w:u w:val="none"/>
      </w:rPr>
    </w:lvl>
    <w:lvl w:ilvl="5" w:tentative="0">
      <w:start w:val="3"/>
      <w:numFmt w:val="bullet"/>
      <w:lvlText w:val=""/>
      <w:lvlJc w:val="left"/>
      <w:pPr>
        <w:tabs>
          <w:tab w:val="left" w:pos="1590"/>
        </w:tabs>
        <w:ind w:left="1590" w:hanging="360"/>
      </w:pPr>
      <w:rPr>
        <w:rFonts w:hint="default" w:ascii="Wingdings" w:hAnsi="Wingdings" w:eastAsia="宋体" w:cs="Times New Roman"/>
      </w:rPr>
    </w:lvl>
    <w:lvl w:ilvl="6" w:tentative="0">
      <w:start w:val="1"/>
      <w:numFmt w:val="decimal"/>
      <w:lvlText w:val="%7."/>
      <w:lvlJc w:val="left"/>
      <w:pPr>
        <w:tabs>
          <w:tab w:val="left" w:pos="2010"/>
        </w:tabs>
        <w:ind w:left="2010" w:hanging="360"/>
      </w:pPr>
      <w:rPr>
        <w:rFonts w:hint="default"/>
      </w:rPr>
    </w:lvl>
    <w:lvl w:ilvl="7" w:tentative="0">
      <w:start w:val="4"/>
      <w:numFmt w:val="decimal"/>
      <w:lvlText w:val="%8、"/>
      <w:lvlJc w:val="left"/>
      <w:pPr>
        <w:tabs>
          <w:tab w:val="left" w:pos="2430"/>
        </w:tabs>
        <w:ind w:left="2430" w:hanging="360"/>
      </w:pPr>
      <w:rPr>
        <w:rFonts w:hint="default" w:ascii="宋体" w:hAnsi="宋体"/>
        <w:b w:val="0"/>
      </w:rPr>
    </w:lvl>
    <w:lvl w:ilvl="8" w:tentative="0">
      <w:start w:val="4"/>
      <w:numFmt w:val="japaneseCounting"/>
      <w:lvlText w:val="（%9）"/>
      <w:lvlJc w:val="left"/>
      <w:pPr>
        <w:ind w:left="3570" w:hanging="108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05675475"/>
    <w:rsid w:val="08114650"/>
    <w:rsid w:val="0A064980"/>
    <w:rsid w:val="11A4366A"/>
    <w:rsid w:val="14BE5E0F"/>
    <w:rsid w:val="171952CF"/>
    <w:rsid w:val="1D181F30"/>
    <w:rsid w:val="2230171F"/>
    <w:rsid w:val="2F650837"/>
    <w:rsid w:val="311F048A"/>
    <w:rsid w:val="31B5758C"/>
    <w:rsid w:val="345E787D"/>
    <w:rsid w:val="34822752"/>
    <w:rsid w:val="3C137C90"/>
    <w:rsid w:val="3E20106F"/>
    <w:rsid w:val="3EEA4CD8"/>
    <w:rsid w:val="46C27D84"/>
    <w:rsid w:val="4C43601E"/>
    <w:rsid w:val="4C4C01E6"/>
    <w:rsid w:val="4C6864E2"/>
    <w:rsid w:val="4D96514A"/>
    <w:rsid w:val="545F68DA"/>
    <w:rsid w:val="5BF10D33"/>
    <w:rsid w:val="5E76564A"/>
    <w:rsid w:val="5F270887"/>
    <w:rsid w:val="60D90E28"/>
    <w:rsid w:val="63BD6722"/>
    <w:rsid w:val="66251C5B"/>
    <w:rsid w:val="6EC64279"/>
    <w:rsid w:val="75BA690B"/>
    <w:rsid w:val="7ADE0E8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link w:val="14"/>
    <w:qFormat/>
    <w:uiPriority w:val="0"/>
    <w:pPr>
      <w:keepNext/>
      <w:jc w:val="center"/>
      <w:outlineLvl w:val="0"/>
    </w:pPr>
    <w:rPr>
      <w:kern w:val="0"/>
      <w:sz w:val="28"/>
    </w:rPr>
  </w:style>
  <w:style w:type="character" w:default="1" w:styleId="8">
    <w:name w:val="Default Paragraph Font"/>
    <w:semiHidden/>
    <w:qFormat/>
    <w:uiPriority w:val="0"/>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仿宋" w:hAnsi="仿宋" w:eastAsia="仿宋" w:cs="仿宋"/>
      <w:sz w:val="31"/>
      <w:szCs w:val="31"/>
      <w:lang w:val="en-US" w:eastAsia="en-US" w:bidi="ar-SA"/>
    </w:rPr>
  </w:style>
  <w:style w:type="paragraph" w:styleId="4">
    <w:name w:val="Block Text"/>
    <w:basedOn w:val="1"/>
    <w:qFormat/>
    <w:uiPriority w:val="0"/>
    <w:pPr>
      <w:ind w:left="1440" w:leftChars="700" w:right="700" w:rightChars="7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Table Text"/>
    <w:basedOn w:val="1"/>
    <w:semiHidden/>
    <w:qFormat/>
    <w:uiPriority w:val="0"/>
    <w:rPr>
      <w:rFonts w:ascii="宋体" w:hAnsi="宋体" w:eastAsia="宋体" w:cs="宋体"/>
      <w:sz w:val="31"/>
      <w:szCs w:val="31"/>
      <w:lang w:val="en-US" w:eastAsia="en-US" w:bidi="ar-SA"/>
    </w:rPr>
  </w:style>
  <w:style w:type="character" w:customStyle="1" w:styleId="11">
    <w:name w:val="NormalCharacter"/>
    <w:link w:val="12"/>
    <w:qFormat/>
    <w:uiPriority w:val="0"/>
  </w:style>
  <w:style w:type="paragraph" w:customStyle="1" w:styleId="12">
    <w:name w:val="UserStyle_4"/>
    <w:basedOn w:val="1"/>
    <w:link w:val="11"/>
    <w:qFormat/>
    <w:uiPriority w:val="99"/>
  </w:style>
  <w:style w:type="paragraph" w:customStyle="1" w:styleId="13">
    <w:name w:val="Heading3"/>
    <w:basedOn w:val="1"/>
    <w:next w:val="1"/>
    <w:qFormat/>
    <w:uiPriority w:val="99"/>
    <w:pPr>
      <w:keepNext/>
      <w:keepLines/>
      <w:spacing w:before="260" w:after="260" w:line="413" w:lineRule="auto"/>
    </w:pPr>
    <w:rPr>
      <w:b/>
      <w:sz w:val="32"/>
    </w:rPr>
  </w:style>
  <w:style w:type="character" w:customStyle="1" w:styleId="14">
    <w:name w:val="标题 1 字符"/>
    <w:link w:val="2"/>
    <w:qFormat/>
    <w:uiPriority w:val="0"/>
    <w:rPr>
      <w:kern w:val="0"/>
      <w:sz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2929</Words>
  <Characters>3063</Characters>
  <TotalTime>1</TotalTime>
  <ScaleCrop>false</ScaleCrop>
  <LinksUpToDate>false</LinksUpToDate>
  <CharactersWithSpaces>3376</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2025-01-09T13:34:00Z</dcterms:created>
  <dc:creator>Kingsoft-PDF</dc:creator>
  <cp:lastModifiedBy>Administrator</cp:lastModifiedBy>
  <dcterms:modified xsi:type="dcterms:W3CDTF">2025-04-21T10:20:05Z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2025-01-09T13:34:05Z</vt:filetime>
  </property>
  <property fmtid="{D5CDD505-2E9C-101B-9397-08002B2CF9AE}" pid="4" name="UsrData">
    <vt:lpwstr>677f5fc8d0534a001fbc984awl</vt:lpwstr>
  </property>
  <property fmtid="{D5CDD505-2E9C-101B-9397-08002B2CF9AE}" pid="5" name="KSOTemplateDocerSaveRecord">
    <vt:lpwstr>eyJoZGlkIjoiYTJlZjA2NTlmZWNmZjg1ZDk5N2IwNjAwOWUzYjdlNmQiLCJ1c2VySWQiOiIxMjgyNzk5NzE0In0=</vt:lpwstr>
  </property>
  <property fmtid="{D5CDD505-2E9C-101B-9397-08002B2CF9AE}" pid="6" name="KSOProductBuildVer">
    <vt:lpwstr>2052-12.1.0.20784</vt:lpwstr>
  </property>
  <property fmtid="{D5CDD505-2E9C-101B-9397-08002B2CF9AE}" pid="7" name="ICV">
    <vt:lpwstr>96046AF834AE423FAAC65CCE257A5E36_12</vt:lpwstr>
  </property>
</Properties>
</file>