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版本号：TZZB-Z-2025054C20250421001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文件跨网交互平台建设项目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TZZB-Z-2025054C</w:t>
      </w:r>
      <w:r>
        <w:br/>
      </w:r>
      <w:r>
        <w:br/>
      </w:r>
      <w:r>
        <w:br/>
      </w:r>
    </w:p>
    <w:p>
      <w:pPr>
        <w:pStyle w:val="null3"/>
        <w:jc w:val="center"/>
        <w:outlineLvl w:val="2"/>
      </w:pPr>
      <w:r>
        <w:rPr>
          <w:rFonts w:ascii="仿宋_GB2312" w:hAnsi="仿宋_GB2312" w:cs="仿宋_GB2312" w:eastAsia="仿宋_GB2312"/>
          <w:sz w:val="28"/>
          <w:b/>
        </w:rPr>
        <w:t>陕西西咸新区人民法院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陕西西咸新区人民法院</w:t>
      </w:r>
      <w:r>
        <w:rPr>
          <w:rFonts w:ascii="仿宋_GB2312" w:hAnsi="仿宋_GB2312" w:cs="仿宋_GB2312" w:eastAsia="仿宋_GB2312"/>
        </w:rPr>
        <w:t>委托，拟对</w:t>
      </w:r>
      <w:r>
        <w:rPr>
          <w:rFonts w:ascii="仿宋_GB2312" w:hAnsi="仿宋_GB2312" w:cs="仿宋_GB2312" w:eastAsia="仿宋_GB2312"/>
        </w:rPr>
        <w:t>文件跨网交互平台建设项目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TZZB-Z-2025054C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文件跨网交互平台建设项目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安全隔离与信息交换平台建设要求》（FYB/T53001—2017）的补充标准《业务接入单向光闸应用规范》，文件跨网交互（安全隔离与信息交换）平台的总体建设要求如下：法院专网与互联网及其他网络信息交换，必须采用基于单向光导技术的隔离交换传输平台。使用网闸等不符合规定交换设备的，立即停止使用。严禁直接连接，严禁边界端口映射，严禁使用通用网络协议穿透。在光闸上采用协议穿透模式（除文件交换和数据库同步模式外）的应用立即关闭应用通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5、社会保障资金缴纳证明：提供自2024年4月1日以来已缴存的任意1个月的社会保障资金缴存单据或社保机构开具的社会保险参保缴费情况证明；依法不需要缴纳社会保障资金的供应商应提供相关证明文件。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4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陕西西咸新区人民法院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陕西省西咸新区空港新城俊采大街17号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029-32207033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陕西西咸新区人民法院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陕西西咸新区人民法院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陕西西咸新区人民法院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安全隔离与信息交换平台建设要求》（FYB/T53001—2017）的补充标准《业务接入单向光闸应用规范》，文件跨网交互（安全隔离与信息交换）平台的总体建设要求如下：法院专网与互联网及其他网络信息交换，必须采用基于单向光导技术的隔离交换传输平台。使用网闸等不符合规定交换设备的，立即停止使用。严禁直接连接，严禁边界端口映射，严禁使用通用网络协议穿透。在光闸上采用协议穿透模式（除文件交换和数据库同步模式外）的应用立即关闭应用通道。</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文件内外网交互平台所需硬件设备及软件设备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标的名称：文件内外网交互平台所需硬件设备及软件设备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ind w:firstLine="440"/>
              <w:jc w:val="both"/>
            </w:pPr>
            <w:r>
              <w:rPr>
                <w:rFonts w:ascii="仿宋_GB2312" w:hAnsi="仿宋_GB2312" w:cs="仿宋_GB2312" w:eastAsia="仿宋_GB2312"/>
                <w:sz w:val="22"/>
              </w:rPr>
              <w:t>1.项目背景</w:t>
            </w:r>
          </w:p>
          <w:p>
            <w:pPr>
              <w:pStyle w:val="null3"/>
              <w:ind w:firstLine="440"/>
              <w:jc w:val="both"/>
            </w:pPr>
            <w:r>
              <w:rPr>
                <w:rFonts w:ascii="仿宋_GB2312" w:hAnsi="仿宋_GB2312" w:cs="仿宋_GB2312" w:eastAsia="仿宋_GB2312"/>
                <w:sz w:val="22"/>
              </w:rPr>
              <w:t>最高人民法院于</w:t>
            </w:r>
            <w:r>
              <w:rPr>
                <w:rFonts w:ascii="仿宋_GB2312" w:hAnsi="仿宋_GB2312" w:cs="仿宋_GB2312" w:eastAsia="仿宋_GB2312"/>
                <w:sz w:val="22"/>
              </w:rPr>
              <w:t>2018年底下发了《关于开展全国法院办公专网信息安全专项整治工作的通知》（法[2018]295号），其中对规范跨网信息交换做出了明确要求：“法院专网与互联网、移动专网、外部专网及其他网络的信息交换必须采用基于单向光导技术的隔离交换传输平台，使用网闸等不符合规定交换设备的，必须立即制定计划限期整改。严禁直接连接，严禁边界端口映射，严禁使用通用网络协议穿透。”</w:t>
            </w:r>
          </w:p>
          <w:p>
            <w:pPr>
              <w:pStyle w:val="null3"/>
              <w:ind w:firstLine="200"/>
              <w:jc w:val="both"/>
            </w:pPr>
            <w:r>
              <w:rPr>
                <w:rFonts w:ascii="仿宋_GB2312" w:hAnsi="仿宋_GB2312" w:cs="仿宋_GB2312" w:eastAsia="仿宋_GB2312"/>
                <w:sz w:val="22"/>
              </w:rPr>
              <w:t>陕西西咸新区人民法院按照最高院内外网信息保密及网络信息安全管理规定，需要在内外网文件传输和信息交互时建设相关安全隔离与信息交换系统及设备，用于确保法院内外网文件和信息传输安全和干警日常办公合规便利。</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二、建设内容</w:t>
            </w:r>
          </w:p>
        </w:tc>
        <w:tc>
          <w:tcPr>
            <w:tcW w:type="dxa" w:w="2076"/>
          </w:tcPr>
          <w:p>
            <w:pPr>
              <w:pStyle w:val="null3"/>
              <w:jc w:val="both"/>
            </w:pPr>
            <w:r>
              <w:rPr>
                <w:rFonts w:ascii="仿宋_GB2312" w:hAnsi="仿宋_GB2312" w:cs="仿宋_GB2312" w:eastAsia="仿宋_GB2312"/>
                <w:sz w:val="22"/>
              </w:rPr>
              <w:t xml:space="preserve">   陕西西咸新区人民法院前期已配置两台</w:t>
            </w:r>
            <w:r>
              <w:rPr>
                <w:rFonts w:ascii="仿宋_GB2312" w:hAnsi="仿宋_GB2312" w:cs="仿宋_GB2312" w:eastAsia="仿宋_GB2312"/>
                <w:sz w:val="22"/>
              </w:rPr>
              <w:t>光闸</w:t>
            </w:r>
            <w:r>
              <w:rPr>
                <w:rFonts w:ascii="仿宋_GB2312" w:hAnsi="仿宋_GB2312" w:cs="仿宋_GB2312" w:eastAsia="仿宋_GB2312"/>
                <w:sz w:val="22"/>
              </w:rPr>
              <w:t>设备，本次按照节约成本</w:t>
            </w:r>
            <w:r>
              <w:rPr>
                <w:rFonts w:ascii="仿宋_GB2312" w:hAnsi="仿宋_GB2312" w:cs="仿宋_GB2312" w:eastAsia="仿宋_GB2312"/>
                <w:sz w:val="22"/>
              </w:rPr>
              <w:t>、</w:t>
            </w:r>
            <w:r>
              <w:rPr>
                <w:rFonts w:ascii="仿宋_GB2312" w:hAnsi="仿宋_GB2312" w:cs="仿宋_GB2312" w:eastAsia="仿宋_GB2312"/>
                <w:sz w:val="22"/>
              </w:rPr>
              <w:t>充分利旧的原则，建设内容包括互联网、工作网文件跨网交互平台软件，以及建设</w:t>
            </w:r>
            <w:r>
              <w:rPr>
                <w:rFonts w:ascii="仿宋_GB2312" w:hAnsi="仿宋_GB2312" w:cs="仿宋_GB2312" w:eastAsia="仿宋_GB2312"/>
                <w:sz w:val="22"/>
              </w:rPr>
              <w:t>配套的国产化服务器、操作</w:t>
            </w:r>
            <w:r>
              <w:rPr>
                <w:rFonts w:ascii="仿宋_GB2312" w:hAnsi="仿宋_GB2312" w:cs="仿宋_GB2312" w:eastAsia="仿宋_GB2312"/>
                <w:sz w:val="22"/>
              </w:rPr>
              <w:t>系统</w:t>
            </w:r>
            <w:r>
              <w:rPr>
                <w:rFonts w:ascii="仿宋_GB2312" w:hAnsi="仿宋_GB2312" w:cs="仿宋_GB2312" w:eastAsia="仿宋_GB2312"/>
                <w:sz w:val="22"/>
              </w:rPr>
              <w:t>、数据库和中间件等</w:t>
            </w:r>
            <w:r>
              <w:rPr>
                <w:rFonts w:ascii="仿宋_GB2312" w:hAnsi="仿宋_GB2312" w:cs="仿宋_GB2312" w:eastAsia="仿宋_GB2312"/>
                <w:sz w:val="22"/>
              </w:rPr>
              <w:t>，并完成相关系统设备的安装部署</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b/>
              </w:rPr>
              <w:t>1、平台软件建设</w:t>
            </w:r>
          </w:p>
          <w:p>
            <w:pPr>
              <w:pStyle w:val="null3"/>
              <w:ind w:firstLine="440"/>
              <w:jc w:val="both"/>
            </w:pPr>
            <w:r>
              <w:rPr>
                <w:rFonts w:ascii="仿宋_GB2312" w:hAnsi="仿宋_GB2312" w:cs="仿宋_GB2312" w:eastAsia="仿宋_GB2312"/>
                <w:sz w:val="22"/>
              </w:rPr>
              <w:t>分为互联网端、工作网端，两个网之间采用单向光闸物理隔离，</w:t>
            </w:r>
            <w:r>
              <w:rPr>
                <w:rFonts w:ascii="仿宋_GB2312" w:hAnsi="仿宋_GB2312" w:cs="仿宋_GB2312" w:eastAsia="仿宋_GB2312"/>
                <w:sz w:val="22"/>
              </w:rPr>
              <w:t>互联网端可以使用电脑端网页访问在互联网部署消息服务、查询服务、文件预览服务及应用服务等，</w:t>
            </w:r>
            <w:r>
              <w:rPr>
                <w:rFonts w:ascii="仿宋_GB2312" w:hAnsi="仿宋_GB2312" w:cs="仿宋_GB2312" w:eastAsia="仿宋_GB2312"/>
                <w:sz w:val="22"/>
              </w:rPr>
              <w:t>可以安全向工作网进行数据传输和文件交互</w:t>
            </w:r>
            <w:r>
              <w:rPr>
                <w:rFonts w:ascii="仿宋_GB2312" w:hAnsi="仿宋_GB2312" w:cs="仿宋_GB2312" w:eastAsia="仿宋_GB2312"/>
                <w:sz w:val="22"/>
              </w:rPr>
              <w:t>。工作网端部署</w:t>
            </w:r>
            <w:r>
              <w:rPr>
                <w:rFonts w:ascii="仿宋_GB2312" w:hAnsi="仿宋_GB2312" w:cs="仿宋_GB2312" w:eastAsia="仿宋_GB2312"/>
                <w:sz w:val="22"/>
              </w:rPr>
              <w:t>相关系统可以实现文件数据</w:t>
            </w:r>
            <w:r>
              <w:rPr>
                <w:rFonts w:ascii="仿宋_GB2312" w:hAnsi="仿宋_GB2312" w:cs="仿宋_GB2312" w:eastAsia="仿宋_GB2312"/>
                <w:sz w:val="22"/>
              </w:rPr>
              <w:t>存储</w:t>
            </w:r>
            <w:r>
              <w:rPr>
                <w:rFonts w:ascii="仿宋_GB2312" w:hAnsi="仿宋_GB2312" w:cs="仿宋_GB2312" w:eastAsia="仿宋_GB2312"/>
                <w:sz w:val="22"/>
              </w:rPr>
              <w:t>等，还可向互联网安全传送文件和数据，同时建立全过程日志追溯系统，实现双向的安全隔离与信息交换。</w:t>
            </w:r>
          </w:p>
          <w:p>
            <w:pPr>
              <w:pStyle w:val="null3"/>
              <w:ind w:firstLine="440"/>
              <w:jc w:val="both"/>
            </w:pPr>
            <w:r>
              <w:rPr>
                <w:rFonts w:ascii="仿宋_GB2312" w:hAnsi="仿宋_GB2312" w:cs="仿宋_GB2312" w:eastAsia="仿宋_GB2312"/>
                <w:sz w:val="22"/>
                <w:b/>
              </w:rPr>
              <w:t>1</w:t>
            </w:r>
            <w:r>
              <w:rPr>
                <w:rFonts w:ascii="仿宋_GB2312" w:hAnsi="仿宋_GB2312" w:cs="仿宋_GB2312" w:eastAsia="仿宋_GB2312"/>
                <w:sz w:val="22"/>
                <w:b/>
              </w:rPr>
              <w:t>.1</w:t>
            </w:r>
            <w:r>
              <w:rPr>
                <w:rFonts w:ascii="仿宋_GB2312" w:hAnsi="仿宋_GB2312" w:cs="仿宋_GB2312" w:eastAsia="仿宋_GB2312"/>
                <w:sz w:val="22"/>
                <w:b/>
              </w:rPr>
              <w:t>功能要求</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1）用户登录</w:t>
            </w:r>
          </w:p>
          <w:p>
            <w:pPr>
              <w:pStyle w:val="null3"/>
              <w:jc w:val="both"/>
            </w:pPr>
            <w:r>
              <w:rPr>
                <w:rFonts w:ascii="仿宋_GB2312" w:hAnsi="仿宋_GB2312" w:cs="仿宋_GB2312" w:eastAsia="仿宋_GB2312"/>
                <w:sz w:val="22"/>
                <w:b/>
              </w:rPr>
              <w:t>互联网登录：</w:t>
            </w:r>
            <w:r>
              <w:rPr>
                <w:rFonts w:ascii="仿宋_GB2312" w:hAnsi="仿宋_GB2312" w:cs="仿宋_GB2312" w:eastAsia="仿宋_GB2312"/>
                <w:sz w:val="22"/>
              </w:rPr>
              <w:t>互联网端初始登录账号密码与工作网端登录账号密码一致，用初始密码首次登录需修改密码。</w:t>
            </w:r>
          </w:p>
          <w:p>
            <w:pPr>
              <w:pStyle w:val="null3"/>
              <w:jc w:val="both"/>
            </w:pPr>
            <w:r>
              <w:rPr>
                <w:rFonts w:ascii="仿宋_GB2312" w:hAnsi="仿宋_GB2312" w:cs="仿宋_GB2312" w:eastAsia="仿宋_GB2312"/>
                <w:sz w:val="22"/>
                <w:b/>
              </w:rPr>
              <w:t>工作网登录：</w:t>
            </w:r>
            <w:r>
              <w:rPr>
                <w:rFonts w:ascii="仿宋_GB2312" w:hAnsi="仿宋_GB2312" w:cs="仿宋_GB2312" w:eastAsia="仿宋_GB2312"/>
                <w:sz w:val="22"/>
              </w:rPr>
              <w:t>用户可通过账号进行登录、或通过统一门户进行登录。</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2）文件列表</w:t>
            </w:r>
          </w:p>
          <w:p>
            <w:pPr>
              <w:pStyle w:val="null3"/>
              <w:jc w:val="both"/>
            </w:pPr>
            <w:r>
              <w:rPr>
                <w:rFonts w:ascii="仿宋_GB2312" w:hAnsi="仿宋_GB2312" w:cs="仿宋_GB2312" w:eastAsia="仿宋_GB2312"/>
                <w:sz w:val="22"/>
              </w:rPr>
              <w:t>包括</w:t>
            </w:r>
            <w:r>
              <w:rPr>
                <w:rFonts w:ascii="仿宋_GB2312" w:hAnsi="仿宋_GB2312" w:cs="仿宋_GB2312" w:eastAsia="仿宋_GB2312"/>
                <w:sz w:val="22"/>
              </w:rPr>
              <w:t>“全部文件”、“内转外列表”、“外传内列表”以及“回收站”。</w:t>
            </w:r>
          </w:p>
          <w:p>
            <w:pPr>
              <w:pStyle w:val="null3"/>
              <w:jc w:val="both"/>
            </w:pPr>
            <w:r>
              <w:rPr>
                <w:rFonts w:ascii="仿宋_GB2312" w:hAnsi="仿宋_GB2312" w:cs="仿宋_GB2312" w:eastAsia="仿宋_GB2312"/>
                <w:sz w:val="22"/>
              </w:rPr>
              <w:t>文件列表：文件存储空间列表展示用户的所有文件或文件夹。</w:t>
            </w:r>
          </w:p>
          <w:p>
            <w:pPr>
              <w:pStyle w:val="null3"/>
              <w:jc w:val="both"/>
            </w:pPr>
            <w:r>
              <w:rPr>
                <w:rFonts w:ascii="仿宋_GB2312" w:hAnsi="仿宋_GB2312" w:cs="仿宋_GB2312" w:eastAsia="仿宋_GB2312"/>
                <w:sz w:val="22"/>
              </w:rPr>
              <w:t>文件搜索：支持通过关键字查找文件名。</w:t>
            </w:r>
          </w:p>
          <w:p>
            <w:pPr>
              <w:pStyle w:val="null3"/>
              <w:jc w:val="both"/>
            </w:pPr>
            <w:r>
              <w:rPr>
                <w:rFonts w:ascii="仿宋_GB2312" w:hAnsi="仿宋_GB2312" w:cs="仿宋_GB2312" w:eastAsia="仿宋_GB2312"/>
                <w:sz w:val="22"/>
              </w:rPr>
              <w:t>文件夹管理</w:t>
            </w:r>
            <w:r>
              <w:rPr>
                <w:rFonts w:ascii="仿宋_GB2312" w:hAnsi="仿宋_GB2312" w:cs="仿宋_GB2312" w:eastAsia="仿宋_GB2312"/>
                <w:sz w:val="22"/>
              </w:rPr>
              <w:t>:在文件存储空间页面设置“新建文件夹”功能按钮可在对应的文件夹目录或文件存储空间首页成功新建一个文件夹。</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3）文件操作</w:t>
            </w:r>
          </w:p>
          <w:p>
            <w:pPr>
              <w:pStyle w:val="null3"/>
              <w:jc w:val="both"/>
            </w:pPr>
            <w:r>
              <w:rPr>
                <w:rFonts w:ascii="仿宋_GB2312" w:hAnsi="仿宋_GB2312" w:cs="仿宋_GB2312" w:eastAsia="仿宋_GB2312"/>
                <w:sz w:val="22"/>
              </w:rPr>
              <w:t>文件上传</w:t>
            </w:r>
            <w:r>
              <w:rPr>
                <w:rFonts w:ascii="仿宋_GB2312" w:hAnsi="仿宋_GB2312" w:cs="仿宋_GB2312" w:eastAsia="仿宋_GB2312"/>
                <w:sz w:val="22"/>
                <w:b/>
              </w:rPr>
              <w:t>：</w:t>
            </w:r>
            <w:r>
              <w:rPr>
                <w:rFonts w:ascii="仿宋_GB2312" w:hAnsi="仿宋_GB2312" w:cs="仿宋_GB2312" w:eastAsia="仿宋_GB2312"/>
                <w:sz w:val="22"/>
              </w:rPr>
              <w:t>在文件存储空间页面顶部存在</w:t>
            </w:r>
            <w:r>
              <w:rPr>
                <w:rFonts w:ascii="仿宋_GB2312" w:hAnsi="仿宋_GB2312" w:cs="仿宋_GB2312" w:eastAsia="仿宋_GB2312"/>
                <w:sz w:val="22"/>
              </w:rPr>
              <w:t>“上传”功能按钮。在任意文件夹或文件存储空间首页，点击“上传”功能按钮，弹出本地文件选择框，选择文件上传成功后该文件展示在对应的文件夹里。</w:t>
            </w:r>
          </w:p>
          <w:p>
            <w:pPr>
              <w:pStyle w:val="null3"/>
              <w:jc w:val="both"/>
            </w:pPr>
            <w:r>
              <w:rPr>
                <w:rFonts w:ascii="仿宋_GB2312" w:hAnsi="仿宋_GB2312" w:cs="仿宋_GB2312" w:eastAsia="仿宋_GB2312"/>
                <w:sz w:val="22"/>
              </w:rPr>
              <w:t>文件移动：在文件夹</w:t>
            </w:r>
            <w:r>
              <w:rPr>
                <w:rFonts w:ascii="仿宋_GB2312" w:hAnsi="仿宋_GB2312" w:cs="仿宋_GB2312" w:eastAsia="仿宋_GB2312"/>
                <w:sz w:val="22"/>
              </w:rPr>
              <w:t>/文件列表选择任意一文件夹/文件点击“移动”功能按钮。进入选择文件存储目录界面，可选择目的文件夹后确定，文件夹/文件将移动至指定的文件夹里，也可在选择文件存储目录界面单独新建一个文件夹存放移动的该文件夹/文件。</w:t>
            </w:r>
          </w:p>
          <w:p>
            <w:pPr>
              <w:pStyle w:val="null3"/>
              <w:jc w:val="both"/>
            </w:pPr>
            <w:r>
              <w:rPr>
                <w:rFonts w:ascii="仿宋_GB2312" w:hAnsi="仿宋_GB2312" w:cs="仿宋_GB2312" w:eastAsia="仿宋_GB2312"/>
                <w:sz w:val="22"/>
              </w:rPr>
              <w:t>文件复制</w:t>
            </w:r>
            <w:r>
              <w:rPr>
                <w:rFonts w:ascii="仿宋_GB2312" w:hAnsi="仿宋_GB2312" w:cs="仿宋_GB2312" w:eastAsia="仿宋_GB2312"/>
                <w:sz w:val="22"/>
                <w:b/>
              </w:rPr>
              <w:t>：</w:t>
            </w:r>
            <w:r>
              <w:rPr>
                <w:rFonts w:ascii="仿宋_GB2312" w:hAnsi="仿宋_GB2312" w:cs="仿宋_GB2312" w:eastAsia="仿宋_GB2312"/>
                <w:sz w:val="22"/>
              </w:rPr>
              <w:t>在文件夹</w:t>
            </w:r>
            <w:r>
              <w:rPr>
                <w:rFonts w:ascii="仿宋_GB2312" w:hAnsi="仿宋_GB2312" w:cs="仿宋_GB2312" w:eastAsia="仿宋_GB2312"/>
                <w:sz w:val="22"/>
              </w:rPr>
              <w:t>/文件列表选择任意一文件夹/文件点击“复制”功能按钮。进入选择文件存储目录界面，选择目的文件夹并确定，文件夹/文件将复制至指定的文件夹里，也可在选择文件存储目录界面单独新建一个文件夹存放复制的该文件夹/文件。</w:t>
            </w:r>
          </w:p>
          <w:p>
            <w:pPr>
              <w:pStyle w:val="null3"/>
              <w:jc w:val="both"/>
            </w:pPr>
            <w:r>
              <w:rPr>
                <w:rFonts w:ascii="仿宋_GB2312" w:hAnsi="仿宋_GB2312" w:cs="仿宋_GB2312" w:eastAsia="仿宋_GB2312"/>
                <w:sz w:val="22"/>
              </w:rPr>
              <w:t>文件删除：选择任意一文件夹</w:t>
            </w:r>
            <w:r>
              <w:rPr>
                <w:rFonts w:ascii="仿宋_GB2312" w:hAnsi="仿宋_GB2312" w:cs="仿宋_GB2312" w:eastAsia="仿宋_GB2312"/>
                <w:sz w:val="22"/>
              </w:rPr>
              <w:t>/文件点击“删除”功能按钮，可将该文件夹/文件进行删除，删除成功的文件夹/文件流转至“回收站”列表。</w:t>
            </w:r>
          </w:p>
          <w:p>
            <w:pPr>
              <w:pStyle w:val="null3"/>
              <w:ind w:firstLine="440"/>
              <w:jc w:val="both"/>
            </w:pPr>
            <w:r>
              <w:rPr>
                <w:rFonts w:ascii="仿宋_GB2312" w:hAnsi="仿宋_GB2312" w:cs="仿宋_GB2312" w:eastAsia="仿宋_GB2312"/>
                <w:sz w:val="22"/>
              </w:rPr>
              <w:t>重命名：在文件夹</w:t>
            </w:r>
            <w:r>
              <w:rPr>
                <w:rFonts w:ascii="仿宋_GB2312" w:hAnsi="仿宋_GB2312" w:cs="仿宋_GB2312" w:eastAsia="仿宋_GB2312"/>
                <w:sz w:val="22"/>
              </w:rPr>
              <w:t>/文件列表选择任意一文件夹/文件点击“重命名”，可直接输入新的名称进行修改。</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4）内外网转换</w:t>
            </w:r>
          </w:p>
          <w:p>
            <w:pPr>
              <w:pStyle w:val="null3"/>
              <w:jc w:val="both"/>
            </w:pPr>
            <w:r>
              <w:rPr>
                <w:rFonts w:ascii="仿宋_GB2312" w:hAnsi="仿宋_GB2312" w:cs="仿宋_GB2312" w:eastAsia="仿宋_GB2312"/>
                <w:sz w:val="22"/>
                <w:b/>
              </w:rPr>
              <w:t>内转外：</w:t>
            </w:r>
            <w:r>
              <w:rPr>
                <w:rFonts w:ascii="仿宋_GB2312" w:hAnsi="仿宋_GB2312" w:cs="仿宋_GB2312" w:eastAsia="仿宋_GB2312"/>
                <w:sz w:val="22"/>
              </w:rPr>
              <w:t>用户可选择需要转到外网的文件或者文件夹，点击</w:t>
            </w:r>
            <w:r>
              <w:rPr>
                <w:rFonts w:ascii="仿宋_GB2312" w:hAnsi="仿宋_GB2312" w:cs="仿宋_GB2312" w:eastAsia="仿宋_GB2312"/>
                <w:sz w:val="22"/>
              </w:rPr>
              <w:t>“转外网”，再选择“内转外”文件夹；或者直接在“内转外”列表上传。点击保存后，文件就会自动同步到外网；在“内转外”列表可以查看状态。同步完成后，就能在外网的“内转外”列表下载文件。</w:t>
            </w:r>
          </w:p>
          <w:p>
            <w:pPr>
              <w:pStyle w:val="null3"/>
              <w:jc w:val="both"/>
            </w:pPr>
            <w:r>
              <w:rPr>
                <w:rFonts w:ascii="仿宋_GB2312" w:hAnsi="仿宋_GB2312" w:cs="仿宋_GB2312" w:eastAsia="仿宋_GB2312"/>
                <w:sz w:val="22"/>
                <w:b/>
              </w:rPr>
              <w:t>外转内：</w:t>
            </w:r>
            <w:r>
              <w:rPr>
                <w:rFonts w:ascii="仿宋_GB2312" w:hAnsi="仿宋_GB2312" w:cs="仿宋_GB2312" w:eastAsia="仿宋_GB2312"/>
                <w:sz w:val="22"/>
              </w:rPr>
              <w:t>外网转内网也是一样的操作，外网转内网不需要审批；点击</w:t>
            </w:r>
            <w:r>
              <w:rPr>
                <w:rFonts w:ascii="仿宋_GB2312" w:hAnsi="仿宋_GB2312" w:cs="仿宋_GB2312" w:eastAsia="仿宋_GB2312"/>
                <w:sz w:val="22"/>
              </w:rPr>
              <w:t>“转内网”后，等状态同步完成，就能在内网网盘的“外转内“列表下载文件。</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4）回收站</w:t>
            </w:r>
          </w:p>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回收站”列表展示当前用户七天之内删除的所有文件，文件删除七天以上系统自动进行彻底删除不再保存。列表展示信息项包含：文件名、操作、删除时间等。在“回收站”列表的文件，用户可恢复文件至原文件夹目录里或彻底删除文件。</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5）个人管理</w:t>
            </w:r>
          </w:p>
          <w:p>
            <w:pPr>
              <w:pStyle w:val="null3"/>
              <w:jc w:val="both"/>
            </w:pPr>
            <w:r>
              <w:rPr>
                <w:rFonts w:ascii="仿宋_GB2312" w:hAnsi="仿宋_GB2312" w:cs="仿宋_GB2312" w:eastAsia="仿宋_GB2312"/>
                <w:sz w:val="22"/>
              </w:rPr>
              <w:t>支持查看个人空间总量、已用空间、剩余空间等信息，修改密码、头像等个人信息。</w:t>
            </w:r>
          </w:p>
          <w:p>
            <w:pPr>
              <w:pStyle w:val="null3"/>
              <w:jc w:val="both"/>
            </w:pPr>
            <w:r>
              <w:rPr>
                <w:rFonts w:ascii="仿宋_GB2312" w:hAnsi="仿宋_GB2312" w:cs="仿宋_GB2312" w:eastAsia="仿宋_GB2312"/>
                <w:sz w:val="22"/>
              </w:rPr>
              <w:t>在个人信息设置界面，点击</w:t>
            </w:r>
            <w:r>
              <w:rPr>
                <w:rFonts w:ascii="仿宋_GB2312" w:hAnsi="仿宋_GB2312" w:cs="仿宋_GB2312" w:eastAsia="仿宋_GB2312"/>
                <w:sz w:val="22"/>
              </w:rPr>
              <w:t>“登录密码”，可进行密码修改，页面显示“原密码”、“新密码”、“确认新密码”信息项。</w:t>
            </w:r>
          </w:p>
          <w:p>
            <w:pPr>
              <w:pStyle w:val="null3"/>
              <w:jc w:val="both"/>
            </w:pPr>
            <w:r>
              <w:rPr>
                <w:rFonts w:ascii="仿宋_GB2312" w:hAnsi="仿宋_GB2312" w:cs="仿宋_GB2312" w:eastAsia="仿宋_GB2312"/>
                <w:sz w:val="22"/>
              </w:rPr>
              <w:t>文件跨网平台底部，展示当前登录用户云空间存储总量和已使用量对比情况，用户可实时查看自己已使用空间和剩余空间。</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6）操作日志</w:t>
            </w:r>
          </w:p>
          <w:p>
            <w:pPr>
              <w:pStyle w:val="null3"/>
              <w:jc w:val="both"/>
            </w:pPr>
            <w:r>
              <w:rPr>
                <w:rFonts w:ascii="仿宋_GB2312" w:hAnsi="仿宋_GB2312" w:cs="仿宋_GB2312" w:eastAsia="仿宋_GB2312"/>
                <w:sz w:val="22"/>
              </w:rPr>
              <w:t>可按用户名、操作类型、操作时间等进行操作日志的筛选和查找。</w:t>
            </w:r>
          </w:p>
          <w:p>
            <w:pPr>
              <w:pStyle w:val="null3"/>
              <w:jc w:val="both"/>
            </w:pPr>
            <w:r>
              <w:rPr>
                <w:rFonts w:ascii="仿宋_GB2312" w:hAnsi="仿宋_GB2312" w:cs="仿宋_GB2312" w:eastAsia="仿宋_GB2312"/>
                <w:sz w:val="22"/>
              </w:rPr>
              <w:t>文件跨网平台记录所有用户的操作日志，管理员可查看平台所有的操作日志了解平台的使用情况。持管理员通过指定用户、操作类型、操作时间等查询条件查找平台使用日志。</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7）数据统计</w:t>
            </w:r>
          </w:p>
          <w:p>
            <w:pPr>
              <w:pStyle w:val="null3"/>
              <w:jc w:val="both"/>
            </w:pPr>
            <w:r>
              <w:rPr>
                <w:rFonts w:ascii="仿宋_GB2312" w:hAnsi="仿宋_GB2312" w:cs="仿宋_GB2312" w:eastAsia="仿宋_GB2312"/>
                <w:sz w:val="22"/>
              </w:rPr>
              <w:t>数据实时统计。包括在线人数统计、用户云盘容量使用情况（已使用</w:t>
            </w:r>
            <w:r>
              <w:rPr>
                <w:rFonts w:ascii="仿宋_GB2312" w:hAnsi="仿宋_GB2312" w:cs="仿宋_GB2312" w:eastAsia="仿宋_GB2312"/>
                <w:sz w:val="22"/>
              </w:rPr>
              <w:t>/未使用量对比）、云盘分享数量等。文件跨网平台支持管理员查看当前文件跨网平台的在线人数、云盘使用情况，可监控每个用户的云空间使用情况。</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.2</w:t>
            </w:r>
            <w:r>
              <w:rPr>
                <w:rFonts w:ascii="仿宋_GB2312" w:hAnsi="仿宋_GB2312" w:cs="仿宋_GB2312" w:eastAsia="仿宋_GB2312"/>
                <w:sz w:val="22"/>
                <w:b/>
              </w:rPr>
              <w:t>系统对接</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1）单点登录平台对接</w:t>
            </w:r>
          </w:p>
          <w:p>
            <w:pPr>
              <w:pStyle w:val="null3"/>
              <w:jc w:val="both"/>
            </w:pPr>
            <w:r>
              <w:rPr>
                <w:rFonts w:ascii="仿宋_GB2312" w:hAnsi="仿宋_GB2312" w:cs="仿宋_GB2312" w:eastAsia="仿宋_GB2312"/>
                <w:sz w:val="22"/>
              </w:rPr>
              <w:t>单点登录平台对接说明，首先，用户在文件跨网交互平台选择单点登录时封装文件应用信息访问单点登录系统；其次，用户在完成单点登录后根据平台的应用信息返回到文件文件跨网交互平台；然后，文件跨网交互平台服务端根据单点登录的返回信息后台请求单点登录平台进行登录验证和用户信息获取，验证用户信息通过后，返回到文件跨网交互平台请求页。具体对接情况以统一应用门户的对接文档为准。</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2）统一应用门户对接</w:t>
            </w:r>
          </w:p>
          <w:p>
            <w:pPr>
              <w:pStyle w:val="null3"/>
              <w:jc w:val="both"/>
            </w:pPr>
            <w:r>
              <w:rPr>
                <w:rFonts w:ascii="仿宋_GB2312" w:hAnsi="仿宋_GB2312" w:cs="仿宋_GB2312" w:eastAsia="仿宋_GB2312"/>
                <w:sz w:val="22"/>
              </w:rPr>
              <w:t>统一应用门户对接说明，在统一应用门户上访问文件跨网交互平台时，统一应用门户传输临时</w:t>
            </w:r>
            <w:r>
              <w:rPr>
                <w:rFonts w:ascii="仿宋_GB2312" w:hAnsi="仿宋_GB2312" w:cs="仿宋_GB2312" w:eastAsia="仿宋_GB2312"/>
                <w:sz w:val="22"/>
              </w:rPr>
              <w:t>token给文件跨网交互平台；其次文件跨网交互平台在后端根据临时token访问统一应用门户获取用户信息；然后文件跨网交互平台验证用户信息返回用户信息相应数据内容，验证用户信息通过后，返回到文件跨网交互平台首页。具体对接情况以应用门户的对接文档为准。</w:t>
            </w:r>
          </w:p>
          <w:p>
            <w:pPr>
              <w:pStyle w:val="null3"/>
              <w:jc w:val="both"/>
            </w:pPr>
            <w:r>
              <w:rPr>
                <w:rFonts w:ascii="仿宋_GB2312" w:hAnsi="仿宋_GB2312" w:cs="仿宋_GB2312" w:eastAsia="仿宋_GB2312"/>
                <w:sz w:val="22"/>
                <w:b/>
              </w:rPr>
              <w:t>2、硬件设备建设</w:t>
            </w:r>
          </w:p>
          <w:p>
            <w:pPr>
              <w:pStyle w:val="null3"/>
              <w:ind w:firstLine="200"/>
              <w:jc w:val="both"/>
            </w:pPr>
            <w:r>
              <w:rPr>
                <w:rFonts w:ascii="仿宋_GB2312" w:hAnsi="仿宋_GB2312" w:cs="仿宋_GB2312" w:eastAsia="仿宋_GB2312"/>
                <w:sz w:val="22"/>
              </w:rPr>
              <w:t>为了实现在保证数据信息实时传递的同时，实现强逻辑安全隔离，文件跨网交互平台硬件设备需要采用前置服务器、后置服务器和单项光闸，部署在西咸新区人民法院工作专网和互联网之间，从而保障</w:t>
            </w:r>
            <w:r>
              <w:rPr>
                <w:rFonts w:ascii="仿宋_GB2312" w:hAnsi="仿宋_GB2312" w:cs="仿宋_GB2312" w:eastAsia="仿宋_GB2312"/>
                <w:sz w:val="22"/>
              </w:rPr>
              <w:t>“内外网安全隔离”以及“适量的信息交换”。</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三、文件跨网交互软件（数量/单位：1/套）</w:t>
            </w:r>
          </w:p>
        </w:tc>
        <w:tc>
          <w:tcPr>
            <w:tcW w:type="dxa" w:w="2076"/>
          </w:tcPr>
          <w:p>
            <w:pPr>
              <w:pStyle w:val="null3"/>
              <w:ind w:firstLine="200"/>
              <w:jc w:val="both"/>
            </w:pPr>
            <w:r>
              <w:rPr>
                <w:rFonts w:ascii="仿宋_GB2312" w:hAnsi="仿宋_GB2312" w:cs="仿宋_GB2312" w:eastAsia="仿宋_GB2312"/>
                <w:sz w:val="22"/>
              </w:rPr>
              <w:t>1.内外网通过web登录页面访问平台，用户账号统一管理。</w:t>
            </w:r>
            <w:r>
              <w:br/>
            </w:r>
            <w:r>
              <w:rPr>
                <w:rFonts w:ascii="仿宋_GB2312" w:hAnsi="仿宋_GB2312" w:cs="仿宋_GB2312" w:eastAsia="仿宋_GB2312"/>
                <w:sz w:val="22"/>
              </w:rPr>
              <w:t>2.支持国产化部署。</w:t>
            </w:r>
            <w:r>
              <w:br/>
            </w:r>
            <w:r>
              <w:rPr>
                <w:rFonts w:ascii="仿宋_GB2312" w:hAnsi="仿宋_GB2312" w:cs="仿宋_GB2312" w:eastAsia="仿宋_GB2312"/>
                <w:sz w:val="22"/>
              </w:rPr>
              <w:t>3.可与统一门户网站对接，实现一站式管理。</w:t>
            </w:r>
            <w:r>
              <w:br/>
            </w:r>
            <w:r>
              <w:rPr>
                <w:rFonts w:ascii="仿宋_GB2312" w:hAnsi="仿宋_GB2312" w:cs="仿宋_GB2312" w:eastAsia="仿宋_GB2312"/>
                <w:sz w:val="22"/>
              </w:rPr>
              <w:t>4.实现个人管理，支持查看个人空间总量、已用空间、剩余空间等信息，修改密码、头像等个人信息。</w:t>
            </w:r>
            <w:r>
              <w:br/>
            </w:r>
            <w:r>
              <w:rPr>
                <w:rFonts w:ascii="仿宋_GB2312" w:hAnsi="仿宋_GB2312" w:cs="仿宋_GB2312" w:eastAsia="仿宋_GB2312"/>
                <w:sz w:val="22"/>
              </w:rPr>
              <w:t>5.实现内网外文件的安全传输，提供文件共享，文件回收站等管理功能。</w:t>
            </w:r>
            <w:r>
              <w:br/>
            </w:r>
            <w:r>
              <w:rPr>
                <w:rFonts w:ascii="仿宋_GB2312" w:hAnsi="仿宋_GB2312" w:cs="仿宋_GB2312" w:eastAsia="仿宋_GB2312"/>
                <w:sz w:val="22"/>
              </w:rPr>
              <w:t>6.可按用户名、操作类型、操作时间等进行操作日志的筛选和查找。</w:t>
            </w:r>
            <w:r>
              <w:br/>
            </w:r>
            <w:r>
              <w:rPr>
                <w:rFonts w:ascii="仿宋_GB2312" w:hAnsi="仿宋_GB2312" w:cs="仿宋_GB2312" w:eastAsia="仿宋_GB2312"/>
                <w:sz w:val="22"/>
              </w:rPr>
              <w:t>7.数据实时统计，包括用户云盘容量使用情况（已使用/未使用量对比）、云盘分享数量、文件摆渡数量等。</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四、国产数据库（数量/单位：2/套）</w:t>
            </w:r>
          </w:p>
        </w:tc>
        <w:tc>
          <w:tcPr>
            <w:tcW w:type="dxa" w:w="2076"/>
          </w:tcPr>
          <w:p>
            <w:pPr>
              <w:pStyle w:val="null3"/>
              <w:jc w:val="both"/>
            </w:pPr>
            <w:r>
              <w:rPr>
                <w:rFonts w:ascii="仿宋_GB2312" w:hAnsi="仿宋_GB2312" w:cs="仿宋_GB2312" w:eastAsia="仿宋_GB2312"/>
                <w:sz w:val="22"/>
              </w:rPr>
              <w:t>1.支持国产化平台安装；</w:t>
            </w:r>
            <w:r>
              <w:br/>
            </w:r>
            <w:r>
              <w:rPr>
                <w:rFonts w:ascii="仿宋_GB2312" w:hAnsi="仿宋_GB2312" w:cs="仿宋_GB2312" w:eastAsia="仿宋_GB2312"/>
                <w:sz w:val="22"/>
              </w:rPr>
              <w:t>2.国产数据库管理软件，产品具备完全自主知识产权。</w:t>
            </w:r>
            <w:r>
              <w:br/>
            </w:r>
            <w:r>
              <w:rPr>
                <w:rFonts w:ascii="仿宋_GB2312" w:hAnsi="仿宋_GB2312" w:cs="仿宋_GB2312" w:eastAsia="仿宋_GB2312"/>
                <w:sz w:val="22"/>
              </w:rPr>
              <w:t>3.支持基于客户端和浏览器的调试功能，支持存储过程，函数，程序包，匿名块的调试，支持与0racle兼容的多种数据类型、索引、主外键约束、触发器、存储过程、包、匿名块、层次查询、视图、物化视图。</w:t>
            </w:r>
            <w:r>
              <w:br/>
            </w:r>
            <w:r>
              <w:rPr>
                <w:rFonts w:ascii="仿宋_GB2312" w:hAnsi="仿宋_GB2312" w:cs="仿宋_GB2312" w:eastAsia="仿宋_GB2312"/>
                <w:sz w:val="22"/>
              </w:rPr>
              <w:t>4.支持对敏感数据的动态脱敏功能，包括默认脱敏、随机脱敏、部分脱敏、邮件脱敏。</w:t>
            </w:r>
            <w:r>
              <w:br/>
            </w:r>
            <w:r>
              <w:rPr>
                <w:rFonts w:ascii="仿宋_GB2312" w:hAnsi="仿宋_GB2312" w:cs="仿宋_GB2312" w:eastAsia="仿宋_GB2312"/>
                <w:sz w:val="22"/>
              </w:rPr>
              <w:t>可以在存储过程，函数，程序包，设置断点，进行调试跟踪，查看堆栈、变量和断点信息。对任意用户表、</w:t>
            </w:r>
            <w:r>
              <w:rPr>
                <w:rFonts w:ascii="仿宋_GB2312" w:hAnsi="仿宋_GB2312" w:cs="仿宋_GB2312" w:eastAsia="仿宋_GB2312"/>
                <w:sz w:val="22"/>
              </w:rPr>
              <w:t>database对象做逻辑保护，不会被逻辑删除</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rPr>
              <w:t>5.支待列存表的创建、删除、修改与查询等操作;支持index可以指定默认表空间;支持128k的块大小。</w:t>
            </w:r>
          </w:p>
          <w:p>
            <w:pPr>
              <w:pStyle w:val="null3"/>
              <w:ind w:firstLine="200"/>
              <w:jc w:val="both"/>
            </w:pPr>
            <w:r>
              <w:rPr>
                <w:rFonts w:ascii="仿宋_GB2312" w:hAnsi="仿宋_GB2312" w:cs="仿宋_GB2312" w:eastAsia="仿宋_GB2312"/>
                <w:sz w:val="22"/>
              </w:rPr>
              <w:t>6.支持操作系统级数据保护功能，可以防止在操作系统层面使用rm删除命令误删除数据表空间目录或数据文件。</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五、中间件（数量/单位：2/套）</w:t>
            </w:r>
          </w:p>
        </w:tc>
        <w:tc>
          <w:tcPr>
            <w:tcW w:type="dxa" w:w="2076"/>
          </w:tcPr>
          <w:p>
            <w:pPr>
              <w:pStyle w:val="null3"/>
              <w:jc w:val="both"/>
            </w:pPr>
            <w:r>
              <w:rPr>
                <w:rFonts w:ascii="仿宋_GB2312" w:hAnsi="仿宋_GB2312" w:cs="仿宋_GB2312" w:eastAsia="仿宋_GB2312"/>
                <w:sz w:val="22"/>
              </w:rPr>
              <w:t>1.支持多种主流国产操作系统，如麒麟OS、统信UOS等；支持多种主流国产数据库系统，如达梦、金仓、神通、南大通用等。</w:t>
            </w:r>
          </w:p>
          <w:p>
            <w:pPr>
              <w:pStyle w:val="null3"/>
              <w:jc w:val="both"/>
            </w:pPr>
            <w:r>
              <w:rPr>
                <w:rFonts w:ascii="仿宋_GB2312" w:hAnsi="仿宋_GB2312" w:cs="仿宋_GB2312" w:eastAsia="仿宋_GB2312"/>
                <w:sz w:val="22"/>
              </w:rPr>
              <w:t>2.遵循国际标准，产品通过Java EE7、8四个标准规范的官方兼容认证。</w:t>
            </w:r>
          </w:p>
          <w:p>
            <w:pPr>
              <w:pStyle w:val="null3"/>
              <w:jc w:val="both"/>
            </w:pPr>
            <w:r>
              <w:rPr>
                <w:rFonts w:ascii="仿宋_GB2312" w:hAnsi="仿宋_GB2312" w:cs="仿宋_GB2312" w:eastAsia="仿宋_GB2312"/>
                <w:sz w:val="22"/>
              </w:rPr>
              <w:t>3.支持集群部署，提供集群管理工具，具备自动配置Java EE应用集群的装置和方法。</w:t>
            </w:r>
          </w:p>
          <w:p>
            <w:pPr>
              <w:pStyle w:val="null3"/>
              <w:jc w:val="both"/>
            </w:pPr>
            <w:r>
              <w:rPr>
                <w:rFonts w:ascii="仿宋_GB2312" w:hAnsi="仿宋_GB2312" w:cs="仿宋_GB2312" w:eastAsia="仿宋_GB2312"/>
                <w:sz w:val="22"/>
              </w:rPr>
              <w:t>4.内置类加载冲突检测工具，可以检测出应用部署和运行过程中哪些类存在类加载冲突问题，并能自动生成冲突检测报告，方便快速定位和解决应用类加载问题。</w:t>
            </w:r>
          </w:p>
          <w:p>
            <w:pPr>
              <w:pStyle w:val="null3"/>
              <w:jc w:val="both"/>
            </w:pPr>
            <w:r>
              <w:rPr>
                <w:rFonts w:ascii="仿宋_GB2312" w:hAnsi="仿宋_GB2312" w:cs="仿宋_GB2312" w:eastAsia="仿宋_GB2312"/>
                <w:sz w:val="22"/>
              </w:rPr>
              <w:t>5.在不停止应用服务器运行的情况下，支持动态更新license以及集中管理替换license，避免更新license对业务正常运行的影响。</w:t>
            </w:r>
          </w:p>
          <w:p>
            <w:pPr>
              <w:pStyle w:val="null3"/>
              <w:jc w:val="both"/>
            </w:pPr>
            <w:r>
              <w:rPr>
                <w:rFonts w:ascii="仿宋_GB2312" w:hAnsi="仿宋_GB2312" w:cs="仿宋_GB2312" w:eastAsia="仿宋_GB2312"/>
                <w:sz w:val="22"/>
              </w:rPr>
              <w:t>6.产品经第三方机构安全扫描，提供《代码安全性审查报告》。证明产品代码中不存在资源未释放、内存泄漏、硬编码、空指针调用、死代码、错误计算、死循环、废弃的函数、数值溢出、无用的控制流语句等编码规范问题。</w:t>
            </w:r>
          </w:p>
          <w:p>
            <w:pPr>
              <w:pStyle w:val="null3"/>
              <w:jc w:val="both"/>
            </w:pPr>
            <w:r>
              <w:rPr>
                <w:rFonts w:ascii="仿宋_GB2312" w:hAnsi="仿宋_GB2312" w:cs="仿宋_GB2312" w:eastAsia="仿宋_GB2312"/>
                <w:sz w:val="22"/>
              </w:rPr>
              <w:t>7.为保障产品安全性，应对产品进行安全功能测试和渗透测试，</w:t>
            </w:r>
          </w:p>
          <w:p>
            <w:pPr>
              <w:pStyle w:val="null3"/>
              <w:ind w:firstLine="200"/>
              <w:jc w:val="both"/>
            </w:pPr>
            <w:r>
              <w:rPr>
                <w:rFonts w:ascii="仿宋_GB2312" w:hAnsi="仿宋_GB2312" w:cs="仿宋_GB2312" w:eastAsia="仿宋_GB2312"/>
                <w:sz w:val="22"/>
              </w:rPr>
              <w:t>8.产品采用商用密码技术进行加密保护、安全认证。产品须通过国家密码管理局商用密码检测中心测评。</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六、国产服务器（数量/单位：2/台） 核心产品</w:t>
            </w:r>
          </w:p>
        </w:tc>
        <w:tc>
          <w:tcPr>
            <w:tcW w:type="dxa" w:w="2076"/>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国产化服务器</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CPU：不小于16c  主频不低于2.4Hz</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内存：不小于</w:t>
            </w:r>
            <w:r>
              <w:rPr>
                <w:rFonts w:ascii="仿宋_GB2312" w:hAnsi="仿宋_GB2312" w:cs="仿宋_GB2312" w:eastAsia="仿宋_GB2312"/>
                <w:sz w:val="22"/>
              </w:rPr>
              <w:t>64G</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硬盘：不小于</w:t>
            </w:r>
            <w:r>
              <w:rPr>
                <w:rFonts w:ascii="仿宋_GB2312" w:hAnsi="仿宋_GB2312" w:cs="仿宋_GB2312" w:eastAsia="仿宋_GB2312"/>
                <w:sz w:val="22"/>
              </w:rPr>
              <w:t>15T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支持千兆电口</w:t>
            </w:r>
          </w:p>
          <w:p>
            <w:pPr>
              <w:pStyle w:val="null3"/>
              <w:ind w:firstLine="200"/>
              <w:jc w:val="both"/>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国产操作系统</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七、管理服务器（数量/单位：1/台）</w:t>
            </w:r>
          </w:p>
        </w:tc>
        <w:tc>
          <w:tcPr>
            <w:tcW w:type="dxa" w:w="2076"/>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国产化服务器</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CPU：不小于16c  主频不低于2.4Hz</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内存：不小于</w:t>
            </w:r>
            <w:r>
              <w:rPr>
                <w:rFonts w:ascii="仿宋_GB2312" w:hAnsi="仿宋_GB2312" w:cs="仿宋_GB2312" w:eastAsia="仿宋_GB2312"/>
                <w:sz w:val="22"/>
              </w:rPr>
              <w:t>64G</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硬盘：不小于</w:t>
            </w:r>
            <w:r>
              <w:rPr>
                <w:rFonts w:ascii="仿宋_GB2312" w:hAnsi="仿宋_GB2312" w:cs="仿宋_GB2312" w:eastAsia="仿宋_GB2312"/>
                <w:sz w:val="22"/>
              </w:rPr>
              <w:t>1T</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支持千兆电口</w:t>
            </w:r>
          </w:p>
          <w:p>
            <w:pPr>
              <w:pStyle w:val="null3"/>
              <w:ind w:firstLine="200"/>
              <w:jc w:val="both"/>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国产操作系统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硬件设备到场后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安装调试验收合格后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指定的地点后经双方共同核验到货信息、质量、数量等，采购方按计划内容验收货物，合格后方可交货，如发现与采购合同货物清单不符的品种、品牌或质量存在缺陷，采购方提出异议，供货商无条件更换。累计3次出现所供货物与采购清单不符或质量存在缺陷采购方有权终止合同（合同书面解除通知送达供货商之日视为解除）。 2.质量验收标准或规范：现行的国家标准或国家行政部门颁布的法律法规、规章制度及行业标准（供应商提供的货物必须符合国家现行标准和相应的技术规范，这些标准和技术规范应为合同签订之日为止最新公布发行的标准和技术规范；所供货物必须保证质量可靠、进货渠道正规，符合国家相关标准，并满足采购要求）；所有货物在运输、搬运、安装的过程中，造成甲方损失的，由乙方为甲方修复或更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1.质保期：软件1年；硬件3年。中标人承诺的质保时间超过招标文件要求的，按其承诺时间质保。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 1.双方达成仲裁协议，向约定的仲裁委员会申请仲裁。2.向有管辖权的人民法院起诉。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提供自2024年4月1日以来已缴存的任意1个月的社会保障资金缴存单据或社保机构开具的社会保险参保缴费情况证明；依法不需要缴纳社会保障资金的供应商应提供相关证明文件。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提供自2024年4月1日以来已缴纳的任意1个月的依法缴纳税收的相关凭据(时间以税款所属日期为准)，凭据应有税务机关或代收机关的公章或业务专用章；依法免税或无须缴纳税收的供应商，应提供相应证明文件。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w:t>
            </w:r>
          </w:p>
        </w:tc>
        <w:tc>
          <w:tcPr>
            <w:tcW w:type="dxa" w:w="3322"/>
          </w:tcPr>
          <w:p>
            <w:pPr>
              <w:pStyle w:val="null3"/>
            </w:pPr>
            <w:r>
              <w:rPr>
                <w:rFonts w:ascii="仿宋_GB2312" w:hAnsi="仿宋_GB2312" w:cs="仿宋_GB2312" w:eastAsia="仿宋_GB2312"/>
              </w:rPr>
              <w:t>本项目非专门面向中小企业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一般资格要求及特殊资格要求.docx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一般资格要求及特殊资格要求.docx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产品技术参数明确、配置齐全，满 足招标文件要求，对每个产品逐条 进行明确响应，没有负偏离且证明材料齐全有效，计20分。说明：参数中每负偏离一项扣1分，扣完为止。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针对项目总体要求，技术方案完全符合总体要求所涉及到的功能内容，方案应在系统建设、技术架构、功能设计、系统对接等方面进行描述。 A.方案描述完整、详细、科学合理、功能齐全的计（9-12】分； B.方案描述比较完整、基本合理、功能明确且无缺失的计（6-9】分； C.方案基本合理但不完整，功能无缺失的计（4-6】分； D.方案描述有不足之处，功能描述不明确的计（2-4】分。 E.方案描述简单笼统，功能有瑕疵的计（1-2】分。 F.其他或未提供不得分。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针对项目实施要求，系统部署完全符合技术规范要求，并提供详细的部署实施方案， 1.应用系统部署方案、硬件部署方案、安装实施方案等； 2.网路拓扑图、实施部署图、设备连接拓扑图； 3.提供的项目质量保障措施、质量合格体系、产品质量合格的证明材料； 4.人员组织方案； 5.提供周密的供货方案，包括时间保障、货物运输、组织进度计划。 以上内容全面完整、切实可行、满足本项目实际需求得10分，评审内容每缺失一项，扣2分，每有一项不符合本项目特点和实际需求，存在缺陷或实用性不强的扣0.2-1分。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（1）人员实力 投标人拟派项目经理应具有软件项目管理经验，提供人员相关证书、身份证复印件等材料，复印件加盖供应商公章，不提供者不计分）满分2分； （2）团队配置 投标人针对本项目应提供详细人员名单和责任分工，确保项目在实施过程中各个环节按时保质完成交付。 从人数、结构、学历、职务、岗位分工、工作经历等方面赋分，满分4分； 人数学历、专业职称（职务）、岗位分工、工作经历各方面人员配置合理且证明材料齐全得4分； 人员配置较合理有部分证明材料视其程度计2-3分； 人员配置较差且无人员证明材料1分； 无人员配置0分。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兼容性保障</w:t>
            </w:r>
          </w:p>
        </w:tc>
        <w:tc>
          <w:tcPr>
            <w:tcW w:type="dxa" w:w="2492"/>
          </w:tcPr>
          <w:p>
            <w:pPr>
              <w:pStyle w:val="null3"/>
            </w:pPr>
            <w:r>
              <w:rPr>
                <w:rFonts w:ascii="仿宋_GB2312" w:hAnsi="仿宋_GB2312" w:cs="仿宋_GB2312" w:eastAsia="仿宋_GB2312"/>
              </w:rPr>
              <w:t>投标人选投产品符合国家信息技术应用创新要求，提供麒麟、统信、中科方德均兼容性适配证书等相关证明材料，每提供一个计1分，最高计4分。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培训保障</w:t>
            </w:r>
          </w:p>
        </w:tc>
        <w:tc>
          <w:tcPr>
            <w:tcW w:type="dxa" w:w="2492"/>
          </w:tcPr>
          <w:p>
            <w:pPr>
              <w:pStyle w:val="null3"/>
            </w:pPr>
            <w:r>
              <w:rPr>
                <w:rFonts w:ascii="仿宋_GB2312" w:hAnsi="仿宋_GB2312" w:cs="仿宋_GB2312" w:eastAsia="仿宋_GB2312"/>
              </w:rPr>
              <w:t>本次系统建设系全员使用，投标人应针对采购要求，提出科学合理、可操作性强的培训计划，包括但不限于详细列出针对本项目全过程的培训计划，制定具体可行的培训考核方案。 （1）覆盖全部内容并设计合理、详细完善（3-6】分， （2）培训计划较为合理，基本完善的 （1-3】分， (3)不详细、内容粗陋的 （0-1】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投标人应具有相关安全集成和安全运维服务得能力，切实落实服务交付和运维服务得质量。针对本项目应制定详细售后服务方案(包括但不限于:售后服务网点的设定、拟投入售后服务人员配置情况、日常维护、项目交付用户后出现故障响应时间及措施、备品备件计划，质量保证范围) ①售后服务方案内容具体、完整、详细、全面的计（3-6】分； ②售后服务方案内容欠缺、薄弱的计（0-3】分； ③未提供售后服务方案不得分。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提供投标供应商自2022年3月1日起至投标截止日止实施过的类似项目业绩，提供合同的复印件并加盖单位公章，以合同的签订日期为准。每提供1份得2分，最多得6分，未提供或提供的合同内容模糊无法辨认得0分。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