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ind w:firstLine="883"/>
        <w:jc w:val="center"/>
        <w:rPr>
          <w:rFonts w:ascii="仿宋" w:hAnsi="仿宋" w:eastAsia="仿宋" w:cs="仿宋"/>
          <w:b/>
          <w:color w:val="FF0000"/>
          <w:kern w:val="0"/>
          <w:sz w:val="36"/>
          <w:szCs w:val="36"/>
        </w:rPr>
      </w:pPr>
      <w:r>
        <w:rPr>
          <w:rFonts w:hint="eastAsia" w:ascii="仿宋" w:hAnsi="仿宋" w:eastAsia="仿宋" w:cs="仿宋"/>
          <w:b/>
          <w:sz w:val="44"/>
          <w:szCs w:val="44"/>
        </w:rPr>
        <w:t>拟签订的合同文本</w:t>
      </w:r>
    </w:p>
    <w:p>
      <w:pPr>
        <w:spacing w:line="360" w:lineRule="auto"/>
        <w:ind w:firstLine="480"/>
        <w:rPr>
          <w:rFonts w:ascii="仿宋" w:hAnsi="仿宋" w:eastAsia="仿宋" w:cs="仿宋"/>
          <w:sz w:val="24"/>
          <w:szCs w:val="24"/>
        </w:rPr>
      </w:pPr>
      <w:bookmarkStart w:id="0" w:name="OLE_LINK15"/>
      <w:r>
        <w:rPr>
          <w:rFonts w:hint="eastAsia" w:ascii="仿宋" w:hAnsi="仿宋" w:eastAsia="仿宋" w:cs="仿宋"/>
          <w:sz w:val="24"/>
          <w:szCs w:val="24"/>
        </w:rPr>
        <w:t>（ 注：本合同为示范文本，具体条款内容由甲方和乙方协商确定，但不得改变招标文件、投标文件、中标通知书里的实质性内容。）</w:t>
      </w:r>
    </w:p>
    <w:p>
      <w:pPr>
        <w:pStyle w:val="13"/>
        <w:spacing w:line="360" w:lineRule="auto"/>
        <w:ind w:firstLine="480" w:firstLineChars="200"/>
        <w:rPr>
          <w:rFonts w:ascii="仿宋" w:hAnsi="仿宋" w:eastAsia="仿宋" w:cs="仿宋"/>
          <w:sz w:val="24"/>
          <w:szCs w:val="24"/>
        </w:rPr>
      </w:pPr>
    </w:p>
    <w:p>
      <w:pPr>
        <w:pStyle w:val="13"/>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签订地点：</w:t>
      </w:r>
      <w:r>
        <w:rPr>
          <w:rFonts w:hint="eastAsia" w:ascii="仿宋" w:hAnsi="仿宋" w:eastAsia="仿宋" w:cs="仿宋"/>
          <w:sz w:val="24"/>
          <w:szCs w:val="24"/>
          <w:u w:val="single"/>
        </w:rPr>
        <w:t xml:space="preserve">                </w:t>
      </w:r>
    </w:p>
    <w:p>
      <w:pPr>
        <w:pStyle w:val="13"/>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签订时间：</w:t>
      </w:r>
      <w:r>
        <w:rPr>
          <w:rFonts w:hint="eastAsia" w:ascii="仿宋" w:hAnsi="仿宋" w:eastAsia="仿宋" w:cs="仿宋"/>
          <w:sz w:val="24"/>
          <w:szCs w:val="24"/>
          <w:u w:val="single"/>
        </w:rPr>
        <w:t xml:space="preserve">                 </w:t>
      </w:r>
    </w:p>
    <w:p>
      <w:pPr>
        <w:pStyle w:val="13"/>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采购人（甲方）：</w:t>
      </w:r>
      <w:r>
        <w:rPr>
          <w:rFonts w:hint="eastAsia" w:ascii="仿宋" w:hAnsi="仿宋" w:eastAsia="仿宋" w:cs="仿宋"/>
          <w:sz w:val="24"/>
          <w:szCs w:val="24"/>
          <w:u w:val="single"/>
        </w:rPr>
        <w:t xml:space="preserve">                </w:t>
      </w:r>
    </w:p>
    <w:p>
      <w:pPr>
        <w:pStyle w:val="13"/>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供应商（乙方）：</w:t>
      </w:r>
      <w:r>
        <w:rPr>
          <w:rFonts w:hint="eastAsia" w:ascii="仿宋" w:hAnsi="仿宋" w:eastAsia="仿宋" w:cs="仿宋"/>
          <w:sz w:val="24"/>
          <w:szCs w:val="24"/>
          <w:u w:val="single"/>
        </w:rPr>
        <w:t xml:space="preserve">                </w:t>
      </w:r>
      <w:r>
        <w:rPr>
          <w:rFonts w:hint="eastAsia" w:ascii="仿宋" w:hAnsi="仿宋" w:eastAsia="仿宋" w:cs="仿宋"/>
          <w:sz w:val="24"/>
          <w:szCs w:val="24"/>
        </w:rPr>
        <w:t>（中标人）</w:t>
      </w:r>
    </w:p>
    <w:p>
      <w:pPr>
        <w:pStyle w:val="13"/>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根据《中华人民共和国政府采购法》及实施条例、《中华人民共和国民法典》和甲方</w:t>
      </w:r>
      <w:r>
        <w:rPr>
          <w:rFonts w:hint="eastAsia" w:ascii="仿宋" w:hAnsi="仿宋" w:eastAsia="仿宋" w:cs="仿宋"/>
          <w:sz w:val="24"/>
          <w:szCs w:val="24"/>
          <w:u w:val="single"/>
        </w:rPr>
        <w:t>陕西西咸新区人民法院文件跨网交互平台建设项目</w:t>
      </w:r>
      <w:r>
        <w:rPr>
          <w:rFonts w:hint="eastAsia" w:ascii="仿宋" w:hAnsi="仿宋" w:eastAsia="仿宋" w:cs="仿宋"/>
          <w:kern w:val="0"/>
          <w:sz w:val="24"/>
          <w:szCs w:val="24"/>
        </w:rPr>
        <w:t>（</w:t>
      </w:r>
      <w:r>
        <w:rPr>
          <w:rFonts w:hint="eastAsia" w:ascii="仿宋" w:hAnsi="仿宋" w:eastAsia="仿宋" w:cs="仿宋"/>
          <w:sz w:val="24"/>
          <w:szCs w:val="24"/>
        </w:rPr>
        <w:t>项目编号：</w:t>
      </w:r>
      <w:r>
        <w:rPr>
          <w:rFonts w:hint="eastAsia" w:ascii="仿宋" w:hAnsi="仿宋" w:eastAsia="仿宋" w:cs="仿宋"/>
          <w:sz w:val="24"/>
          <w:szCs w:val="24"/>
          <w:u w:val="single"/>
        </w:rPr>
        <w:t>TZZB-Z-2025054C</w:t>
      </w:r>
      <w:r>
        <w:rPr>
          <w:rFonts w:hint="eastAsia" w:ascii="仿宋" w:hAnsi="仿宋" w:eastAsia="仿宋" w:cs="仿宋"/>
          <w:sz w:val="24"/>
          <w:szCs w:val="24"/>
        </w:rPr>
        <w:t>）的招标文件、投标文件等有关规定，为确保甲方采购项目的顺利实施，甲、乙双方在平等自愿原则下签订本合同，并共同遵守如下条款：</w:t>
      </w:r>
    </w:p>
    <w:p>
      <w:pPr>
        <w:pStyle w:val="13"/>
        <w:spacing w:line="360" w:lineRule="auto"/>
        <w:ind w:firstLine="0"/>
        <w:rPr>
          <w:rFonts w:ascii="仿宋" w:hAnsi="仿宋" w:eastAsia="仿宋" w:cs="仿宋"/>
          <w:b/>
          <w:sz w:val="24"/>
          <w:szCs w:val="24"/>
        </w:rPr>
      </w:pPr>
      <w:bookmarkStart w:id="1" w:name="_Toc18934"/>
      <w:bookmarkStart w:id="2" w:name="_Toc3373"/>
      <w:bookmarkStart w:id="3" w:name="_Toc8686"/>
      <w:r>
        <w:rPr>
          <w:rFonts w:hint="eastAsia" w:ascii="仿宋" w:hAnsi="仿宋" w:eastAsia="仿宋" w:cs="仿宋"/>
          <w:b/>
          <w:sz w:val="24"/>
          <w:szCs w:val="24"/>
        </w:rPr>
        <w:t>第一条 合同标的及数量</w:t>
      </w:r>
      <w:bookmarkEnd w:id="1"/>
      <w:bookmarkEnd w:id="2"/>
      <w:bookmarkEnd w:id="3"/>
    </w:p>
    <w:p>
      <w:pPr>
        <w:pStyle w:val="13"/>
        <w:spacing w:line="360" w:lineRule="auto"/>
        <w:ind w:firstLine="480" w:firstLineChars="200"/>
        <w:rPr>
          <w:rFonts w:ascii="仿宋" w:hAnsi="仿宋" w:eastAsia="仿宋" w:cs="仿宋"/>
          <w:b/>
          <w:sz w:val="24"/>
          <w:szCs w:val="24"/>
        </w:rPr>
      </w:pPr>
      <w:r>
        <w:rPr>
          <w:rFonts w:hint="eastAsia" w:ascii="仿宋" w:hAnsi="仿宋" w:eastAsia="仿宋" w:cs="仿宋"/>
          <w:sz w:val="24"/>
          <w:szCs w:val="24"/>
        </w:rPr>
        <w:t>乙方向甲方提供下列货物（产品）：</w:t>
      </w:r>
    </w:p>
    <w:p>
      <w:pPr>
        <w:pStyle w:val="5"/>
        <w:spacing w:line="360" w:lineRule="auto"/>
        <w:ind w:firstLine="482"/>
        <w:jc w:val="center"/>
        <w:rPr>
          <w:rFonts w:ascii="仿宋" w:hAnsi="仿宋" w:eastAsia="仿宋" w:cs="仿宋"/>
          <w:b/>
          <w:sz w:val="24"/>
          <w:szCs w:val="24"/>
        </w:rPr>
      </w:pPr>
      <w:r>
        <w:rPr>
          <w:rFonts w:hint="eastAsia" w:ascii="仿宋" w:hAnsi="仿宋" w:eastAsia="仿宋" w:cs="仿宋"/>
          <w:b/>
          <w:sz w:val="24"/>
          <w:szCs w:val="24"/>
        </w:rPr>
        <w:t>货物（产品）一览表</w:t>
      </w:r>
    </w:p>
    <w:tbl>
      <w:tblPr>
        <w:tblStyle w:val="11"/>
        <w:tblpPr w:leftFromText="180" w:rightFromText="180" w:vertAnchor="text" w:horzAnchor="margin" w:tblpX="-343" w:tblpY="309"/>
        <w:tblW w:w="9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425"/>
        <w:gridCol w:w="1305"/>
        <w:gridCol w:w="1020"/>
        <w:gridCol w:w="1200"/>
        <w:gridCol w:w="795"/>
        <w:gridCol w:w="1320"/>
        <w:gridCol w:w="1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780" w:type="dxa"/>
            <w:vAlign w:val="center"/>
          </w:tcPr>
          <w:p>
            <w:pPr>
              <w:spacing w:line="360" w:lineRule="auto"/>
              <w:ind w:firstLine="0" w:firstLineChars="0"/>
              <w:rPr>
                <w:rFonts w:ascii="仿宋" w:hAnsi="仿宋" w:eastAsia="仿宋" w:cs="仿宋"/>
                <w:sz w:val="24"/>
                <w:szCs w:val="24"/>
              </w:rPr>
            </w:pPr>
            <w:bookmarkStart w:id="4" w:name="_Toc7471"/>
            <w:bookmarkStart w:id="5" w:name="_Toc31400"/>
            <w:bookmarkStart w:id="6" w:name="_Toc1631"/>
            <w:bookmarkStart w:id="7" w:name="_Toc21343"/>
            <w:bookmarkStart w:id="8" w:name="_Toc26294"/>
            <w:r>
              <w:rPr>
                <w:rFonts w:hint="eastAsia" w:ascii="仿宋" w:hAnsi="仿宋" w:eastAsia="仿宋" w:cs="仿宋"/>
                <w:sz w:val="24"/>
                <w:szCs w:val="24"/>
              </w:rPr>
              <w:t>序号</w:t>
            </w:r>
            <w:bookmarkEnd w:id="4"/>
            <w:bookmarkEnd w:id="5"/>
            <w:bookmarkEnd w:id="6"/>
            <w:bookmarkEnd w:id="7"/>
            <w:bookmarkEnd w:id="8"/>
          </w:p>
        </w:tc>
        <w:tc>
          <w:tcPr>
            <w:tcW w:w="1425" w:type="dxa"/>
            <w:vAlign w:val="center"/>
          </w:tcPr>
          <w:p>
            <w:pPr>
              <w:spacing w:line="360" w:lineRule="auto"/>
              <w:ind w:firstLine="0" w:firstLineChars="0"/>
              <w:rPr>
                <w:rFonts w:ascii="仿宋" w:hAnsi="仿宋" w:eastAsia="仿宋" w:cs="仿宋"/>
                <w:sz w:val="24"/>
                <w:szCs w:val="24"/>
              </w:rPr>
            </w:pPr>
            <w:bookmarkStart w:id="9" w:name="_Toc678"/>
            <w:bookmarkStart w:id="10" w:name="_Toc6445"/>
            <w:bookmarkStart w:id="11" w:name="_Toc3968"/>
            <w:bookmarkStart w:id="12" w:name="_Toc23183"/>
            <w:bookmarkStart w:id="13" w:name="_Toc22389"/>
            <w:r>
              <w:rPr>
                <w:rFonts w:hint="eastAsia" w:ascii="仿宋" w:hAnsi="仿宋" w:eastAsia="仿宋" w:cs="仿宋"/>
                <w:sz w:val="24"/>
                <w:szCs w:val="24"/>
              </w:rPr>
              <w:t>名称</w:t>
            </w:r>
            <w:bookmarkEnd w:id="9"/>
            <w:bookmarkEnd w:id="10"/>
            <w:bookmarkEnd w:id="11"/>
            <w:bookmarkEnd w:id="12"/>
            <w:bookmarkEnd w:id="13"/>
          </w:p>
        </w:tc>
        <w:tc>
          <w:tcPr>
            <w:tcW w:w="1305" w:type="dxa"/>
            <w:vAlign w:val="center"/>
          </w:tcPr>
          <w:p>
            <w:pPr>
              <w:spacing w:line="360" w:lineRule="auto"/>
              <w:ind w:firstLine="0" w:firstLineChars="0"/>
              <w:rPr>
                <w:rFonts w:ascii="仿宋" w:hAnsi="仿宋" w:eastAsia="仿宋" w:cs="仿宋"/>
                <w:sz w:val="24"/>
                <w:szCs w:val="24"/>
              </w:rPr>
            </w:pPr>
            <w:bookmarkStart w:id="14" w:name="_Toc16370"/>
            <w:bookmarkStart w:id="15" w:name="_Toc6213"/>
            <w:bookmarkStart w:id="16" w:name="_Toc5820"/>
            <w:bookmarkStart w:id="17" w:name="_Toc31540"/>
            <w:bookmarkStart w:id="18" w:name="_Toc13493"/>
            <w:r>
              <w:rPr>
                <w:rFonts w:hint="eastAsia" w:ascii="仿宋" w:hAnsi="仿宋" w:eastAsia="仿宋" w:cs="仿宋"/>
                <w:sz w:val="24"/>
                <w:szCs w:val="24"/>
              </w:rPr>
              <w:t>品牌/型号</w:t>
            </w:r>
            <w:bookmarkEnd w:id="14"/>
            <w:bookmarkEnd w:id="15"/>
            <w:bookmarkEnd w:id="16"/>
            <w:bookmarkEnd w:id="17"/>
            <w:bookmarkEnd w:id="18"/>
          </w:p>
        </w:tc>
        <w:tc>
          <w:tcPr>
            <w:tcW w:w="1020" w:type="dxa"/>
            <w:vAlign w:val="center"/>
          </w:tcPr>
          <w:p>
            <w:pPr>
              <w:spacing w:line="360" w:lineRule="auto"/>
              <w:ind w:firstLine="0" w:firstLineChars="0"/>
              <w:rPr>
                <w:rFonts w:ascii="仿宋" w:hAnsi="仿宋" w:eastAsia="仿宋" w:cs="仿宋"/>
                <w:sz w:val="24"/>
                <w:szCs w:val="24"/>
              </w:rPr>
            </w:pPr>
            <w:bookmarkStart w:id="19" w:name="_Toc21205"/>
            <w:bookmarkStart w:id="20" w:name="_Toc15931"/>
            <w:bookmarkStart w:id="21" w:name="_Toc5177"/>
            <w:bookmarkStart w:id="22" w:name="_Toc3362"/>
            <w:bookmarkStart w:id="23" w:name="_Toc3931"/>
            <w:r>
              <w:rPr>
                <w:rFonts w:hint="eastAsia" w:ascii="仿宋" w:hAnsi="仿宋" w:eastAsia="仿宋" w:cs="仿宋"/>
                <w:sz w:val="24"/>
                <w:szCs w:val="24"/>
              </w:rPr>
              <w:t>规格</w:t>
            </w:r>
            <w:bookmarkEnd w:id="19"/>
            <w:bookmarkEnd w:id="20"/>
            <w:bookmarkEnd w:id="21"/>
            <w:bookmarkEnd w:id="22"/>
            <w:bookmarkEnd w:id="23"/>
          </w:p>
        </w:tc>
        <w:tc>
          <w:tcPr>
            <w:tcW w:w="1200" w:type="dxa"/>
            <w:vAlign w:val="center"/>
          </w:tcPr>
          <w:p>
            <w:pPr>
              <w:spacing w:line="360" w:lineRule="auto"/>
              <w:ind w:firstLine="0" w:firstLineChars="0"/>
              <w:rPr>
                <w:rFonts w:ascii="仿宋" w:hAnsi="仿宋" w:eastAsia="仿宋" w:cs="仿宋"/>
                <w:sz w:val="24"/>
                <w:szCs w:val="24"/>
              </w:rPr>
            </w:pPr>
            <w:bookmarkStart w:id="24" w:name="_Toc30791"/>
            <w:bookmarkStart w:id="25" w:name="_Toc13801"/>
            <w:bookmarkStart w:id="26" w:name="_Toc8364"/>
            <w:bookmarkStart w:id="27" w:name="_Toc16004"/>
            <w:bookmarkStart w:id="28" w:name="_Toc18669"/>
            <w:r>
              <w:rPr>
                <w:rFonts w:hint="eastAsia" w:ascii="仿宋" w:hAnsi="仿宋" w:eastAsia="仿宋" w:cs="仿宋"/>
                <w:sz w:val="24"/>
                <w:szCs w:val="24"/>
              </w:rPr>
              <w:t>计量单位</w:t>
            </w:r>
            <w:bookmarkEnd w:id="24"/>
            <w:bookmarkEnd w:id="25"/>
            <w:bookmarkEnd w:id="26"/>
            <w:bookmarkEnd w:id="27"/>
            <w:bookmarkEnd w:id="28"/>
          </w:p>
        </w:tc>
        <w:tc>
          <w:tcPr>
            <w:tcW w:w="795" w:type="dxa"/>
            <w:vAlign w:val="center"/>
          </w:tcPr>
          <w:p>
            <w:pPr>
              <w:spacing w:line="360" w:lineRule="auto"/>
              <w:ind w:firstLine="0" w:firstLineChars="0"/>
              <w:rPr>
                <w:rFonts w:ascii="仿宋" w:hAnsi="仿宋" w:eastAsia="仿宋" w:cs="仿宋"/>
                <w:sz w:val="24"/>
                <w:szCs w:val="24"/>
              </w:rPr>
            </w:pPr>
            <w:bookmarkStart w:id="29" w:name="_Toc19134"/>
            <w:bookmarkStart w:id="30" w:name="_Toc609"/>
            <w:bookmarkStart w:id="31" w:name="_Toc29871"/>
            <w:bookmarkStart w:id="32" w:name="_Toc24569"/>
            <w:bookmarkStart w:id="33" w:name="_Toc9231"/>
            <w:r>
              <w:rPr>
                <w:rFonts w:hint="eastAsia" w:ascii="仿宋" w:hAnsi="仿宋" w:eastAsia="仿宋" w:cs="仿宋"/>
                <w:sz w:val="24"/>
                <w:szCs w:val="24"/>
              </w:rPr>
              <w:t>数量</w:t>
            </w:r>
            <w:bookmarkEnd w:id="29"/>
            <w:bookmarkEnd w:id="30"/>
            <w:bookmarkEnd w:id="31"/>
            <w:bookmarkEnd w:id="32"/>
            <w:bookmarkEnd w:id="33"/>
          </w:p>
        </w:tc>
        <w:tc>
          <w:tcPr>
            <w:tcW w:w="1320" w:type="dxa"/>
            <w:vAlign w:val="center"/>
          </w:tcPr>
          <w:p>
            <w:pPr>
              <w:spacing w:line="360" w:lineRule="auto"/>
              <w:ind w:firstLine="0" w:firstLineChars="0"/>
              <w:rPr>
                <w:rFonts w:ascii="仿宋" w:hAnsi="仿宋" w:eastAsia="仿宋" w:cs="仿宋"/>
                <w:sz w:val="24"/>
                <w:szCs w:val="24"/>
              </w:rPr>
            </w:pPr>
            <w:bookmarkStart w:id="34" w:name="_Toc29589"/>
            <w:bookmarkStart w:id="35" w:name="_Toc22269"/>
            <w:bookmarkStart w:id="36" w:name="_Toc5020"/>
            <w:bookmarkStart w:id="37" w:name="_Toc1373"/>
            <w:bookmarkStart w:id="38" w:name="_Toc23932"/>
            <w:r>
              <w:rPr>
                <w:rFonts w:hint="eastAsia" w:ascii="仿宋" w:hAnsi="仿宋" w:eastAsia="仿宋" w:cs="仿宋"/>
                <w:sz w:val="24"/>
                <w:szCs w:val="24"/>
              </w:rPr>
              <w:t>单价（元）</w:t>
            </w:r>
            <w:bookmarkEnd w:id="34"/>
            <w:bookmarkEnd w:id="35"/>
            <w:bookmarkEnd w:id="36"/>
            <w:bookmarkEnd w:id="37"/>
            <w:bookmarkEnd w:id="38"/>
          </w:p>
        </w:tc>
        <w:tc>
          <w:tcPr>
            <w:tcW w:w="1575" w:type="dxa"/>
            <w:vAlign w:val="center"/>
          </w:tcPr>
          <w:p>
            <w:pPr>
              <w:spacing w:line="360" w:lineRule="auto"/>
              <w:ind w:firstLine="0" w:firstLineChars="0"/>
              <w:rPr>
                <w:rFonts w:ascii="仿宋" w:hAnsi="仿宋" w:eastAsia="仿宋" w:cs="仿宋"/>
                <w:sz w:val="24"/>
                <w:szCs w:val="24"/>
              </w:rPr>
            </w:pPr>
            <w:bookmarkStart w:id="39" w:name="_Toc23619"/>
            <w:bookmarkStart w:id="40" w:name="_Toc17545"/>
            <w:bookmarkStart w:id="41" w:name="_Toc26062"/>
            <w:bookmarkStart w:id="42" w:name="_Toc14510"/>
            <w:bookmarkStart w:id="43" w:name="_Toc32579"/>
            <w:r>
              <w:rPr>
                <w:rFonts w:hint="eastAsia" w:ascii="仿宋" w:hAnsi="仿宋" w:eastAsia="仿宋" w:cs="仿宋"/>
                <w:sz w:val="24"/>
                <w:szCs w:val="24"/>
              </w:rPr>
              <w:t>金额 (元)</w:t>
            </w:r>
            <w:bookmarkEnd w:id="39"/>
            <w:bookmarkEnd w:id="40"/>
            <w:bookmarkEnd w:id="41"/>
            <w:bookmarkEnd w:id="42"/>
            <w:bookmarkEnd w:id="4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780" w:type="dxa"/>
          </w:tcPr>
          <w:p>
            <w:pPr>
              <w:spacing w:line="360" w:lineRule="auto"/>
              <w:ind w:firstLine="480"/>
              <w:rPr>
                <w:rFonts w:ascii="仿宋" w:hAnsi="仿宋" w:eastAsia="仿宋" w:cs="仿宋"/>
                <w:sz w:val="24"/>
                <w:szCs w:val="24"/>
              </w:rPr>
            </w:pPr>
          </w:p>
        </w:tc>
        <w:tc>
          <w:tcPr>
            <w:tcW w:w="1425" w:type="dxa"/>
          </w:tcPr>
          <w:p>
            <w:pPr>
              <w:spacing w:line="360" w:lineRule="auto"/>
              <w:ind w:firstLine="480"/>
              <w:rPr>
                <w:rFonts w:ascii="仿宋" w:hAnsi="仿宋" w:eastAsia="仿宋" w:cs="仿宋"/>
                <w:sz w:val="24"/>
                <w:szCs w:val="24"/>
              </w:rPr>
            </w:pPr>
          </w:p>
        </w:tc>
        <w:tc>
          <w:tcPr>
            <w:tcW w:w="1305" w:type="dxa"/>
          </w:tcPr>
          <w:p>
            <w:pPr>
              <w:spacing w:line="360" w:lineRule="auto"/>
              <w:ind w:firstLine="480"/>
              <w:rPr>
                <w:rFonts w:ascii="仿宋" w:hAnsi="仿宋" w:eastAsia="仿宋" w:cs="仿宋"/>
                <w:sz w:val="24"/>
                <w:szCs w:val="24"/>
              </w:rPr>
            </w:pPr>
          </w:p>
        </w:tc>
        <w:tc>
          <w:tcPr>
            <w:tcW w:w="1020" w:type="dxa"/>
          </w:tcPr>
          <w:p>
            <w:pPr>
              <w:spacing w:line="360" w:lineRule="auto"/>
              <w:ind w:firstLine="480"/>
              <w:rPr>
                <w:rFonts w:ascii="仿宋" w:hAnsi="仿宋" w:eastAsia="仿宋" w:cs="仿宋"/>
                <w:sz w:val="24"/>
                <w:szCs w:val="24"/>
              </w:rPr>
            </w:pPr>
          </w:p>
        </w:tc>
        <w:tc>
          <w:tcPr>
            <w:tcW w:w="1200" w:type="dxa"/>
          </w:tcPr>
          <w:p>
            <w:pPr>
              <w:spacing w:line="360" w:lineRule="auto"/>
              <w:ind w:firstLine="480"/>
              <w:rPr>
                <w:rFonts w:ascii="仿宋" w:hAnsi="仿宋" w:eastAsia="仿宋" w:cs="仿宋"/>
                <w:sz w:val="24"/>
                <w:szCs w:val="24"/>
              </w:rPr>
            </w:pPr>
          </w:p>
        </w:tc>
        <w:tc>
          <w:tcPr>
            <w:tcW w:w="795" w:type="dxa"/>
          </w:tcPr>
          <w:p>
            <w:pPr>
              <w:spacing w:line="360" w:lineRule="auto"/>
              <w:ind w:firstLine="480"/>
              <w:rPr>
                <w:rFonts w:ascii="仿宋" w:hAnsi="仿宋" w:eastAsia="仿宋" w:cs="仿宋"/>
                <w:sz w:val="24"/>
                <w:szCs w:val="24"/>
              </w:rPr>
            </w:pPr>
          </w:p>
        </w:tc>
        <w:tc>
          <w:tcPr>
            <w:tcW w:w="1320" w:type="dxa"/>
          </w:tcPr>
          <w:p>
            <w:pPr>
              <w:spacing w:line="360" w:lineRule="auto"/>
              <w:ind w:firstLine="480"/>
              <w:rPr>
                <w:rFonts w:ascii="仿宋" w:hAnsi="仿宋" w:eastAsia="仿宋" w:cs="仿宋"/>
                <w:sz w:val="24"/>
                <w:szCs w:val="24"/>
              </w:rPr>
            </w:pPr>
          </w:p>
        </w:tc>
        <w:tc>
          <w:tcPr>
            <w:tcW w:w="1575" w:type="dxa"/>
          </w:tcPr>
          <w:p>
            <w:pPr>
              <w:spacing w:line="360" w:lineRule="auto"/>
              <w:ind w:firstLine="48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780" w:type="dxa"/>
          </w:tcPr>
          <w:p>
            <w:pPr>
              <w:spacing w:line="360" w:lineRule="auto"/>
              <w:ind w:firstLine="480"/>
              <w:rPr>
                <w:rFonts w:ascii="仿宋" w:hAnsi="仿宋" w:eastAsia="仿宋" w:cs="仿宋"/>
                <w:sz w:val="24"/>
                <w:szCs w:val="24"/>
              </w:rPr>
            </w:pPr>
          </w:p>
        </w:tc>
        <w:tc>
          <w:tcPr>
            <w:tcW w:w="1425" w:type="dxa"/>
          </w:tcPr>
          <w:p>
            <w:pPr>
              <w:spacing w:line="360" w:lineRule="auto"/>
              <w:ind w:firstLine="480"/>
              <w:rPr>
                <w:rFonts w:ascii="仿宋" w:hAnsi="仿宋" w:eastAsia="仿宋" w:cs="仿宋"/>
                <w:sz w:val="24"/>
                <w:szCs w:val="24"/>
              </w:rPr>
            </w:pPr>
          </w:p>
        </w:tc>
        <w:tc>
          <w:tcPr>
            <w:tcW w:w="1305" w:type="dxa"/>
          </w:tcPr>
          <w:p>
            <w:pPr>
              <w:spacing w:line="360" w:lineRule="auto"/>
              <w:ind w:firstLine="480"/>
              <w:rPr>
                <w:rFonts w:ascii="仿宋" w:hAnsi="仿宋" w:eastAsia="仿宋" w:cs="仿宋"/>
                <w:sz w:val="24"/>
                <w:szCs w:val="24"/>
              </w:rPr>
            </w:pPr>
          </w:p>
        </w:tc>
        <w:tc>
          <w:tcPr>
            <w:tcW w:w="1020" w:type="dxa"/>
          </w:tcPr>
          <w:p>
            <w:pPr>
              <w:spacing w:line="360" w:lineRule="auto"/>
              <w:ind w:firstLine="480"/>
              <w:rPr>
                <w:rFonts w:ascii="仿宋" w:hAnsi="仿宋" w:eastAsia="仿宋" w:cs="仿宋"/>
                <w:sz w:val="24"/>
                <w:szCs w:val="24"/>
              </w:rPr>
            </w:pPr>
          </w:p>
        </w:tc>
        <w:tc>
          <w:tcPr>
            <w:tcW w:w="1200" w:type="dxa"/>
          </w:tcPr>
          <w:p>
            <w:pPr>
              <w:spacing w:line="360" w:lineRule="auto"/>
              <w:ind w:firstLine="480"/>
              <w:rPr>
                <w:rFonts w:ascii="仿宋" w:hAnsi="仿宋" w:eastAsia="仿宋" w:cs="仿宋"/>
                <w:sz w:val="24"/>
                <w:szCs w:val="24"/>
              </w:rPr>
            </w:pPr>
          </w:p>
        </w:tc>
        <w:tc>
          <w:tcPr>
            <w:tcW w:w="795" w:type="dxa"/>
          </w:tcPr>
          <w:p>
            <w:pPr>
              <w:spacing w:line="360" w:lineRule="auto"/>
              <w:ind w:firstLine="480"/>
              <w:rPr>
                <w:rFonts w:ascii="仿宋" w:hAnsi="仿宋" w:eastAsia="仿宋" w:cs="仿宋"/>
                <w:sz w:val="24"/>
                <w:szCs w:val="24"/>
              </w:rPr>
            </w:pPr>
          </w:p>
        </w:tc>
        <w:tc>
          <w:tcPr>
            <w:tcW w:w="1320" w:type="dxa"/>
          </w:tcPr>
          <w:p>
            <w:pPr>
              <w:spacing w:line="360" w:lineRule="auto"/>
              <w:ind w:firstLine="480"/>
              <w:rPr>
                <w:rFonts w:ascii="仿宋" w:hAnsi="仿宋" w:eastAsia="仿宋" w:cs="仿宋"/>
                <w:sz w:val="24"/>
                <w:szCs w:val="24"/>
              </w:rPr>
            </w:pPr>
          </w:p>
        </w:tc>
        <w:tc>
          <w:tcPr>
            <w:tcW w:w="1575" w:type="dxa"/>
          </w:tcPr>
          <w:p>
            <w:pPr>
              <w:spacing w:line="360" w:lineRule="auto"/>
              <w:ind w:firstLine="48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780" w:type="dxa"/>
          </w:tcPr>
          <w:p>
            <w:pPr>
              <w:spacing w:line="360" w:lineRule="auto"/>
              <w:ind w:firstLine="480"/>
              <w:rPr>
                <w:rFonts w:ascii="仿宋" w:hAnsi="仿宋" w:eastAsia="仿宋" w:cs="仿宋"/>
                <w:sz w:val="24"/>
                <w:szCs w:val="24"/>
              </w:rPr>
            </w:pPr>
          </w:p>
        </w:tc>
        <w:tc>
          <w:tcPr>
            <w:tcW w:w="1425" w:type="dxa"/>
          </w:tcPr>
          <w:p>
            <w:pPr>
              <w:spacing w:line="360" w:lineRule="auto"/>
              <w:ind w:firstLine="480"/>
              <w:rPr>
                <w:rFonts w:ascii="仿宋" w:hAnsi="仿宋" w:eastAsia="仿宋" w:cs="仿宋"/>
                <w:sz w:val="24"/>
                <w:szCs w:val="24"/>
              </w:rPr>
            </w:pPr>
          </w:p>
        </w:tc>
        <w:tc>
          <w:tcPr>
            <w:tcW w:w="1305" w:type="dxa"/>
          </w:tcPr>
          <w:p>
            <w:pPr>
              <w:spacing w:line="360" w:lineRule="auto"/>
              <w:ind w:firstLine="480"/>
              <w:rPr>
                <w:rFonts w:ascii="仿宋" w:hAnsi="仿宋" w:eastAsia="仿宋" w:cs="仿宋"/>
                <w:sz w:val="24"/>
                <w:szCs w:val="24"/>
              </w:rPr>
            </w:pPr>
          </w:p>
        </w:tc>
        <w:tc>
          <w:tcPr>
            <w:tcW w:w="1020" w:type="dxa"/>
          </w:tcPr>
          <w:p>
            <w:pPr>
              <w:spacing w:line="360" w:lineRule="auto"/>
              <w:ind w:firstLine="480"/>
              <w:rPr>
                <w:rFonts w:ascii="仿宋" w:hAnsi="仿宋" w:eastAsia="仿宋" w:cs="仿宋"/>
                <w:sz w:val="24"/>
                <w:szCs w:val="24"/>
              </w:rPr>
            </w:pPr>
          </w:p>
        </w:tc>
        <w:tc>
          <w:tcPr>
            <w:tcW w:w="1200" w:type="dxa"/>
          </w:tcPr>
          <w:p>
            <w:pPr>
              <w:spacing w:line="360" w:lineRule="auto"/>
              <w:ind w:firstLine="480"/>
              <w:rPr>
                <w:rFonts w:ascii="仿宋" w:hAnsi="仿宋" w:eastAsia="仿宋" w:cs="仿宋"/>
                <w:sz w:val="24"/>
                <w:szCs w:val="24"/>
              </w:rPr>
            </w:pPr>
          </w:p>
        </w:tc>
        <w:tc>
          <w:tcPr>
            <w:tcW w:w="795" w:type="dxa"/>
          </w:tcPr>
          <w:p>
            <w:pPr>
              <w:spacing w:line="360" w:lineRule="auto"/>
              <w:ind w:firstLine="480"/>
              <w:rPr>
                <w:rFonts w:ascii="仿宋" w:hAnsi="仿宋" w:eastAsia="仿宋" w:cs="仿宋"/>
                <w:sz w:val="24"/>
                <w:szCs w:val="24"/>
              </w:rPr>
            </w:pPr>
          </w:p>
        </w:tc>
        <w:tc>
          <w:tcPr>
            <w:tcW w:w="1320" w:type="dxa"/>
          </w:tcPr>
          <w:p>
            <w:pPr>
              <w:spacing w:line="360" w:lineRule="auto"/>
              <w:ind w:firstLine="480"/>
              <w:rPr>
                <w:rFonts w:ascii="仿宋" w:hAnsi="仿宋" w:eastAsia="仿宋" w:cs="仿宋"/>
                <w:sz w:val="24"/>
                <w:szCs w:val="24"/>
              </w:rPr>
            </w:pPr>
          </w:p>
        </w:tc>
        <w:tc>
          <w:tcPr>
            <w:tcW w:w="1575" w:type="dxa"/>
          </w:tcPr>
          <w:p>
            <w:pPr>
              <w:spacing w:line="360" w:lineRule="auto"/>
              <w:ind w:firstLine="48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510" w:type="dxa"/>
            <w:gridSpan w:val="3"/>
          </w:tcPr>
          <w:p>
            <w:pPr>
              <w:spacing w:line="360" w:lineRule="auto"/>
              <w:ind w:firstLine="480"/>
              <w:rPr>
                <w:rFonts w:ascii="仿宋" w:hAnsi="仿宋" w:eastAsia="仿宋" w:cs="仿宋"/>
                <w:sz w:val="24"/>
                <w:szCs w:val="24"/>
              </w:rPr>
            </w:pPr>
            <w:bookmarkStart w:id="44" w:name="_Toc25107"/>
            <w:bookmarkStart w:id="45" w:name="_Toc16401"/>
            <w:bookmarkStart w:id="46" w:name="_Toc15703"/>
            <w:bookmarkStart w:id="47" w:name="_Toc10934"/>
            <w:bookmarkStart w:id="48" w:name="_Toc18746"/>
            <w:r>
              <w:rPr>
                <w:rFonts w:hint="eastAsia" w:ascii="仿宋" w:hAnsi="仿宋" w:eastAsia="仿宋" w:cs="仿宋"/>
                <w:sz w:val="24"/>
                <w:szCs w:val="24"/>
              </w:rPr>
              <w:t>合计</w:t>
            </w:r>
            <w:bookmarkEnd w:id="44"/>
            <w:bookmarkEnd w:id="45"/>
            <w:bookmarkEnd w:id="46"/>
            <w:bookmarkEnd w:id="47"/>
            <w:bookmarkEnd w:id="48"/>
          </w:p>
        </w:tc>
        <w:tc>
          <w:tcPr>
            <w:tcW w:w="5910" w:type="dxa"/>
            <w:gridSpan w:val="5"/>
          </w:tcPr>
          <w:p>
            <w:pPr>
              <w:spacing w:line="360" w:lineRule="auto"/>
              <w:ind w:firstLine="480"/>
              <w:rPr>
                <w:rFonts w:ascii="仿宋" w:hAnsi="仿宋" w:eastAsia="仿宋" w:cs="仿宋"/>
                <w:sz w:val="24"/>
                <w:szCs w:val="24"/>
              </w:rPr>
            </w:pPr>
            <w:bookmarkStart w:id="49" w:name="_Toc31431"/>
            <w:bookmarkStart w:id="50" w:name="_Toc18304"/>
            <w:bookmarkStart w:id="51" w:name="_Toc10002"/>
            <w:bookmarkStart w:id="52" w:name="_Toc9771"/>
            <w:bookmarkStart w:id="53" w:name="_Toc3316"/>
            <w:r>
              <w:rPr>
                <w:rFonts w:hint="eastAsia" w:ascii="仿宋" w:hAnsi="仿宋" w:eastAsia="仿宋" w:cs="仿宋"/>
                <w:sz w:val="24"/>
                <w:szCs w:val="24"/>
              </w:rPr>
              <w:t>¥</w:t>
            </w:r>
            <w:bookmarkEnd w:id="49"/>
            <w:bookmarkEnd w:id="50"/>
            <w:bookmarkEnd w:id="51"/>
            <w:bookmarkEnd w:id="52"/>
            <w:bookmarkEnd w:id="53"/>
          </w:p>
        </w:tc>
      </w:tr>
    </w:tbl>
    <w:p>
      <w:pPr>
        <w:pStyle w:val="13"/>
        <w:spacing w:line="360" w:lineRule="auto"/>
        <w:ind w:firstLine="0"/>
        <w:rPr>
          <w:rFonts w:ascii="仿宋" w:hAnsi="仿宋" w:eastAsia="仿宋" w:cs="仿宋"/>
          <w:b/>
          <w:sz w:val="24"/>
          <w:szCs w:val="24"/>
        </w:rPr>
      </w:pPr>
      <w:bookmarkStart w:id="54" w:name="_Toc14881"/>
      <w:bookmarkStart w:id="55" w:name="_Toc28512"/>
      <w:bookmarkStart w:id="56" w:name="_Toc6586"/>
      <w:r>
        <w:rPr>
          <w:rFonts w:hint="eastAsia" w:ascii="仿宋" w:hAnsi="仿宋" w:eastAsia="仿宋" w:cs="仿宋"/>
          <w:b/>
          <w:sz w:val="24"/>
          <w:szCs w:val="24"/>
        </w:rPr>
        <w:t>第二条 合同价款</w:t>
      </w:r>
      <w:bookmarkEnd w:id="54"/>
      <w:bookmarkEnd w:id="55"/>
      <w:bookmarkEnd w:id="56"/>
    </w:p>
    <w:p>
      <w:pPr>
        <w:spacing w:line="360" w:lineRule="auto"/>
        <w:ind w:firstLine="480"/>
        <w:rPr>
          <w:rFonts w:ascii="仿宋" w:hAnsi="仿宋" w:eastAsia="仿宋" w:cs="仿宋"/>
          <w:sz w:val="24"/>
          <w:szCs w:val="24"/>
        </w:rPr>
      </w:pPr>
      <w:r>
        <w:rPr>
          <w:rFonts w:hint="eastAsia" w:ascii="仿宋" w:hAnsi="仿宋" w:eastAsia="仿宋" w:cs="仿宋"/>
          <w:sz w:val="24"/>
          <w:szCs w:val="24"/>
        </w:rPr>
        <w:t>1.合同总价：人民币（大写）</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元，（￥</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spacing w:line="360" w:lineRule="auto"/>
        <w:ind w:firstLine="480"/>
        <w:jc w:val="left"/>
        <w:rPr>
          <w:rFonts w:ascii="仿宋" w:hAnsi="仿宋" w:eastAsia="仿宋" w:cs="仿宋"/>
          <w:sz w:val="24"/>
          <w:szCs w:val="24"/>
        </w:rPr>
      </w:pPr>
      <w:r>
        <w:rPr>
          <w:rFonts w:hint="eastAsia" w:ascii="仿宋" w:hAnsi="仿宋" w:eastAsia="仿宋" w:cs="仿宋"/>
          <w:sz w:val="24"/>
          <w:szCs w:val="24"/>
        </w:rPr>
        <w:t>2.本合同总价是产品、辅材、制造、包装、运输、安装、调试、检测、验收合格交付使用之前及保修期内保修服务与备用物件等其他有关各项的含税费用。</w:t>
      </w:r>
    </w:p>
    <w:p>
      <w:pPr>
        <w:spacing w:line="360" w:lineRule="auto"/>
        <w:ind w:firstLine="480"/>
        <w:rPr>
          <w:rFonts w:ascii="仿宋" w:hAnsi="仿宋" w:eastAsia="仿宋" w:cs="仿宋"/>
          <w:sz w:val="24"/>
          <w:szCs w:val="24"/>
        </w:rPr>
      </w:pPr>
      <w:r>
        <w:rPr>
          <w:rFonts w:hint="eastAsia" w:ascii="仿宋" w:hAnsi="仿宋" w:eastAsia="仿宋" w:cs="仿宋"/>
          <w:sz w:val="24"/>
          <w:szCs w:val="24"/>
        </w:rPr>
        <w:t>3.本合同总价还包含乙方应当提供的伴随服务和售后服务费用。</w:t>
      </w:r>
    </w:p>
    <w:p>
      <w:pPr>
        <w:spacing w:line="360" w:lineRule="auto"/>
        <w:ind w:firstLine="480"/>
        <w:jc w:val="left"/>
        <w:rPr>
          <w:rFonts w:ascii="仿宋" w:hAnsi="仿宋" w:eastAsia="仿宋" w:cs="仿宋"/>
          <w:sz w:val="24"/>
          <w:szCs w:val="24"/>
        </w:rPr>
      </w:pPr>
      <w:r>
        <w:rPr>
          <w:rFonts w:hint="eastAsia" w:ascii="仿宋" w:hAnsi="仿宋" w:eastAsia="仿宋" w:cs="仿宋"/>
          <w:sz w:val="24"/>
          <w:szCs w:val="24"/>
        </w:rPr>
        <w:t>4.本合同执行期间合同总价不变，甲方无须另向乙方支付本合同规定之外的其他任何费用。</w:t>
      </w:r>
      <w:bookmarkStart w:id="57" w:name="_Toc31924"/>
    </w:p>
    <w:p>
      <w:pPr>
        <w:pStyle w:val="13"/>
        <w:spacing w:line="360" w:lineRule="auto"/>
        <w:ind w:firstLine="0"/>
        <w:rPr>
          <w:rFonts w:ascii="仿宋" w:hAnsi="仿宋" w:eastAsia="仿宋" w:cs="仿宋"/>
          <w:b/>
          <w:sz w:val="24"/>
          <w:szCs w:val="24"/>
        </w:rPr>
      </w:pPr>
      <w:bookmarkStart w:id="58" w:name="_Toc2721"/>
      <w:bookmarkStart w:id="59" w:name="_Toc14426"/>
      <w:r>
        <w:rPr>
          <w:rFonts w:hint="eastAsia" w:ascii="仿宋" w:hAnsi="仿宋" w:eastAsia="仿宋" w:cs="仿宋"/>
          <w:b/>
          <w:sz w:val="24"/>
          <w:szCs w:val="24"/>
        </w:rPr>
        <w:t>第三条 合同价款支付</w:t>
      </w:r>
      <w:bookmarkEnd w:id="57"/>
      <w:bookmarkEnd w:id="58"/>
      <w:bookmarkEnd w:id="59"/>
    </w:p>
    <w:p>
      <w:pPr>
        <w:pStyle w:val="13"/>
        <w:spacing w:line="360" w:lineRule="auto"/>
        <w:ind w:firstLine="480" w:firstLineChars="200"/>
        <w:rPr>
          <w:rFonts w:hint="eastAsia" w:ascii="仿宋" w:hAnsi="仿宋" w:eastAsia="仿宋" w:cs="仿宋"/>
          <w:color w:val="auto"/>
          <w:sz w:val="24"/>
          <w:szCs w:val="24"/>
          <w:highlight w:val="none"/>
        </w:rPr>
      </w:pPr>
      <w:bookmarkStart w:id="60" w:name="_Toc7176"/>
      <w:bookmarkStart w:id="61" w:name="_Toc24977"/>
      <w:bookmarkStart w:id="62" w:name="_Toc7450"/>
      <w:r>
        <w:rPr>
          <w:rFonts w:hint="eastAsia" w:ascii="仿宋" w:hAnsi="仿宋" w:eastAsia="仿宋" w:cs="仿宋"/>
          <w:color w:val="auto"/>
          <w:sz w:val="24"/>
          <w:szCs w:val="24"/>
          <w:highlight w:val="none"/>
        </w:rPr>
        <w:t xml:space="preserve">采购包1： </w:t>
      </w:r>
      <w:r>
        <w:rPr>
          <w:rFonts w:hint="eastAsia" w:ascii="仿宋" w:hAnsi="仿宋" w:eastAsia="仿宋" w:cs="仿宋"/>
          <w:color w:val="auto"/>
          <w:sz w:val="24"/>
          <w:szCs w:val="24"/>
          <w:highlight w:val="none"/>
          <w:lang w:val="en-US" w:eastAsia="zh-CN"/>
        </w:rPr>
        <w:t>硬件</w:t>
      </w:r>
      <w:r>
        <w:rPr>
          <w:rFonts w:hint="eastAsia" w:ascii="仿宋" w:hAnsi="仿宋" w:eastAsia="仿宋" w:cs="仿宋"/>
          <w:color w:val="auto"/>
          <w:sz w:val="24"/>
          <w:szCs w:val="24"/>
          <w:highlight w:val="none"/>
        </w:rPr>
        <w:t>设备到场后 ，达到付款条件起 7 日内，支付合同总金额的</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0.00%。</w:t>
      </w:r>
    </w:p>
    <w:p>
      <w:pPr>
        <w:pStyle w:val="13"/>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采购包1： 付款条件说明： 安装调试验收合格后 ，达到付款条件起 7 日内，支付合同总金额的 </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0.00%。</w:t>
      </w:r>
    </w:p>
    <w:p>
      <w:pPr>
        <w:pStyle w:val="13"/>
        <w:spacing w:line="360" w:lineRule="auto"/>
        <w:ind w:firstLine="0"/>
        <w:rPr>
          <w:rFonts w:ascii="仿宋" w:hAnsi="仿宋" w:eastAsia="仿宋" w:cs="仿宋"/>
          <w:b/>
          <w:sz w:val="24"/>
          <w:szCs w:val="24"/>
        </w:rPr>
      </w:pPr>
      <w:r>
        <w:rPr>
          <w:rFonts w:hint="eastAsia" w:ascii="仿宋" w:hAnsi="仿宋" w:eastAsia="仿宋" w:cs="仿宋"/>
          <w:b/>
          <w:sz w:val="24"/>
          <w:szCs w:val="24"/>
        </w:rPr>
        <w:t>第四条 交货期限</w:t>
      </w:r>
      <w:bookmarkEnd w:id="60"/>
      <w:bookmarkEnd w:id="61"/>
      <w:bookmarkEnd w:id="62"/>
    </w:p>
    <w:p>
      <w:pPr>
        <w:pStyle w:val="13"/>
        <w:spacing w:line="360" w:lineRule="auto"/>
        <w:ind w:firstLine="480" w:firstLineChars="200"/>
        <w:rPr>
          <w:rFonts w:ascii="仿宋" w:hAnsi="仿宋" w:eastAsia="仿宋" w:cs="仿宋"/>
          <w:color w:val="auto"/>
          <w:sz w:val="24"/>
          <w:szCs w:val="24"/>
        </w:rPr>
      </w:pPr>
      <w:bookmarkStart w:id="63" w:name="_Toc2774"/>
      <w:bookmarkStart w:id="64" w:name="_Toc18347"/>
      <w:bookmarkStart w:id="65" w:name="_Toc8595"/>
      <w:r>
        <w:rPr>
          <w:rFonts w:hint="eastAsia" w:ascii="仿宋" w:hAnsi="仿宋" w:eastAsia="仿宋" w:cs="仿宋"/>
          <w:color w:val="auto"/>
          <w:sz w:val="24"/>
          <w:szCs w:val="24"/>
        </w:rPr>
        <w:t>自合同签订之日起，45个日历日完成全部项目内容。</w:t>
      </w:r>
    </w:p>
    <w:p>
      <w:pPr>
        <w:pStyle w:val="13"/>
        <w:spacing w:line="360" w:lineRule="auto"/>
        <w:ind w:firstLine="0"/>
        <w:rPr>
          <w:rFonts w:ascii="仿宋" w:hAnsi="仿宋" w:eastAsia="仿宋" w:cs="仿宋"/>
          <w:b/>
          <w:color w:val="auto"/>
          <w:sz w:val="24"/>
          <w:szCs w:val="24"/>
        </w:rPr>
      </w:pPr>
      <w:r>
        <w:rPr>
          <w:rFonts w:hint="eastAsia" w:ascii="仿宋" w:hAnsi="仿宋" w:eastAsia="仿宋" w:cs="仿宋"/>
          <w:b/>
          <w:color w:val="auto"/>
          <w:sz w:val="24"/>
          <w:szCs w:val="24"/>
        </w:rPr>
        <w:t xml:space="preserve">第五条 </w:t>
      </w:r>
      <w:bookmarkEnd w:id="63"/>
      <w:bookmarkEnd w:id="64"/>
      <w:bookmarkEnd w:id="65"/>
      <w:r>
        <w:rPr>
          <w:rFonts w:hint="eastAsia" w:ascii="仿宋" w:hAnsi="仿宋" w:eastAsia="仿宋" w:cs="仿宋"/>
          <w:b/>
          <w:color w:val="auto"/>
          <w:sz w:val="24"/>
          <w:szCs w:val="24"/>
        </w:rPr>
        <w:t>质量保证</w:t>
      </w:r>
    </w:p>
    <w:p>
      <w:pPr>
        <w:pStyle w:val="9"/>
        <w:spacing w:line="360" w:lineRule="auto"/>
        <w:ind w:firstLine="480"/>
        <w:rPr>
          <w:rFonts w:ascii="仿宋" w:hAnsi="仿宋" w:eastAsia="仿宋" w:cs="仿宋"/>
          <w:color w:val="auto"/>
          <w:sz w:val="24"/>
          <w:szCs w:val="24"/>
        </w:rPr>
      </w:pPr>
      <w:bookmarkStart w:id="66" w:name="_Toc5147"/>
      <w:bookmarkStart w:id="67" w:name="_Toc26000"/>
      <w:bookmarkStart w:id="68" w:name="_Toc23635"/>
      <w:r>
        <w:rPr>
          <w:rFonts w:hint="eastAsia" w:ascii="仿宋" w:hAnsi="仿宋" w:eastAsia="仿宋" w:cs="仿宋"/>
          <w:color w:val="auto"/>
          <w:sz w:val="24"/>
          <w:szCs w:val="24"/>
        </w:rPr>
        <w:t>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pPr>
        <w:pStyle w:val="9"/>
        <w:spacing w:line="360" w:lineRule="auto"/>
        <w:ind w:firstLine="480"/>
        <w:rPr>
          <w:rFonts w:ascii="仿宋" w:hAnsi="仿宋" w:eastAsia="仿宋" w:cs="仿宋"/>
          <w:color w:val="auto"/>
          <w:sz w:val="24"/>
          <w:szCs w:val="24"/>
        </w:rPr>
      </w:pPr>
      <w:r>
        <w:rPr>
          <w:rFonts w:hint="eastAsia" w:ascii="仿宋" w:hAnsi="仿宋" w:eastAsia="仿宋" w:cs="仿宋"/>
          <w:color w:val="auto"/>
          <w:sz w:val="24"/>
          <w:szCs w:val="24"/>
        </w:rPr>
        <w:t>2.乙方提供的设备及配套产品必须等同于或优于合同技术指标要求，并能按国家标准供应、检测、调试，确保产品技术指标满足使用要求。</w:t>
      </w:r>
    </w:p>
    <w:p>
      <w:pPr>
        <w:pStyle w:val="9"/>
        <w:spacing w:line="360" w:lineRule="auto"/>
        <w:ind w:firstLine="480"/>
        <w:rPr>
          <w:rFonts w:ascii="仿宋" w:hAnsi="仿宋" w:eastAsia="仿宋" w:cs="仿宋"/>
          <w:color w:val="auto"/>
          <w:sz w:val="24"/>
          <w:szCs w:val="24"/>
        </w:rPr>
      </w:pPr>
      <w:r>
        <w:rPr>
          <w:rFonts w:hint="eastAsia" w:ascii="仿宋" w:hAnsi="仿宋" w:eastAsia="仿宋" w:cs="仿宋"/>
          <w:color w:val="auto"/>
          <w:sz w:val="24"/>
          <w:szCs w:val="24"/>
        </w:rPr>
        <w:t>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pPr>
        <w:pStyle w:val="9"/>
        <w:spacing w:line="360" w:lineRule="auto"/>
        <w:ind w:firstLine="480"/>
        <w:rPr>
          <w:rFonts w:ascii="仿宋" w:hAnsi="仿宋" w:eastAsia="仿宋" w:cs="仿宋"/>
          <w:color w:val="auto"/>
          <w:sz w:val="24"/>
          <w:szCs w:val="24"/>
        </w:rPr>
      </w:pPr>
      <w:r>
        <w:rPr>
          <w:rFonts w:hint="eastAsia" w:ascii="仿宋" w:hAnsi="仿宋" w:eastAsia="仿宋" w:cs="仿宋"/>
          <w:color w:val="auto"/>
          <w:sz w:val="24"/>
          <w:szCs w:val="24"/>
        </w:rPr>
        <w:t>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pPr>
        <w:pStyle w:val="9"/>
        <w:spacing w:line="360" w:lineRule="auto"/>
        <w:ind w:firstLine="480"/>
        <w:rPr>
          <w:rFonts w:ascii="仿宋" w:hAnsi="仿宋" w:eastAsia="仿宋" w:cs="仿宋"/>
          <w:color w:val="auto"/>
          <w:sz w:val="24"/>
          <w:szCs w:val="24"/>
        </w:rPr>
      </w:pPr>
      <w:r>
        <w:rPr>
          <w:rFonts w:hint="eastAsia" w:ascii="仿宋" w:hAnsi="仿宋" w:eastAsia="仿宋" w:cs="仿宋"/>
          <w:color w:val="auto"/>
          <w:sz w:val="24"/>
          <w:szCs w:val="24"/>
        </w:rPr>
        <w:t>5.乙方在收到通知后虽答复，但没有弥补缺陷，甲方可采取必要的补救措施，但由此引发的风险和费用将由乙方承担。甲方根据合同规定对乙方行使的其他权力不受影响。</w:t>
      </w:r>
    </w:p>
    <w:p>
      <w:pPr>
        <w:pStyle w:val="15"/>
        <w:spacing w:line="360" w:lineRule="auto"/>
        <w:rPr>
          <w:rFonts w:hint="default" w:ascii="仿宋" w:hAnsi="仿宋" w:eastAsia="仿宋" w:cs="仿宋"/>
          <w:color w:val="auto"/>
          <w:sz w:val="24"/>
          <w:szCs w:val="24"/>
          <w:highlight w:val="yellow"/>
          <w:lang w:eastAsia="zh-CN"/>
        </w:rPr>
      </w:pPr>
      <w:r>
        <w:rPr>
          <w:rFonts w:ascii="仿宋" w:hAnsi="仿宋" w:eastAsia="仿宋" w:cs="仿宋"/>
          <w:color w:val="auto"/>
          <w:sz w:val="24"/>
          <w:szCs w:val="24"/>
          <w:lang w:eastAsia="zh-CN"/>
        </w:rPr>
        <w:t>6.质保期：（1）</w:t>
      </w:r>
      <w:r>
        <w:rPr>
          <w:rFonts w:ascii="仿宋" w:hAnsi="仿宋" w:eastAsia="仿宋" w:cs="仿宋"/>
          <w:color w:val="auto"/>
          <w:sz w:val="24"/>
          <w:szCs w:val="24"/>
        </w:rPr>
        <w:t>质保期</w:t>
      </w:r>
      <w:r>
        <w:rPr>
          <w:rFonts w:ascii="仿宋" w:hAnsi="仿宋" w:eastAsia="仿宋" w:cs="仿宋"/>
          <w:color w:val="auto"/>
          <w:sz w:val="24"/>
          <w:szCs w:val="24"/>
          <w:lang w:eastAsia="zh-CN"/>
        </w:rPr>
        <w:t>：软件1年；硬件3年</w:t>
      </w:r>
      <w:r>
        <w:rPr>
          <w:rFonts w:ascii="仿宋" w:hAnsi="仿宋" w:eastAsia="仿宋" w:cs="仿宋"/>
          <w:color w:val="auto"/>
          <w:sz w:val="24"/>
          <w:szCs w:val="24"/>
        </w:rPr>
        <w:t>。中标人承诺的质保时间超过招标文件要求的，按其承诺时间质保。</w:t>
      </w:r>
      <w:r>
        <w:rPr>
          <w:rFonts w:ascii="仿宋" w:hAnsi="仿宋" w:eastAsia="仿宋" w:cs="仿宋"/>
          <w:color w:val="auto"/>
          <w:sz w:val="24"/>
          <w:szCs w:val="24"/>
          <w:lang w:eastAsia="zh-CN"/>
        </w:rPr>
        <w:t>（2）</w:t>
      </w:r>
      <w:r>
        <w:rPr>
          <w:rFonts w:ascii="仿宋" w:hAnsi="仿宋" w:eastAsia="仿宋" w:cs="仿宋"/>
          <w:color w:val="auto"/>
          <w:sz w:val="24"/>
          <w:szCs w:val="24"/>
        </w:rPr>
        <w:t xml:space="preserve">中标人承诺的质保期起始时间为验收合格之日。 </w:t>
      </w:r>
      <w:r>
        <w:rPr>
          <w:rFonts w:ascii="仿宋" w:hAnsi="仿宋" w:eastAsia="仿宋" w:cs="仿宋"/>
          <w:color w:val="auto"/>
          <w:sz w:val="24"/>
          <w:szCs w:val="24"/>
          <w:lang w:eastAsia="zh-CN"/>
        </w:rPr>
        <w:t>（3）</w:t>
      </w:r>
      <w:r>
        <w:rPr>
          <w:rFonts w:ascii="仿宋" w:hAnsi="仿宋" w:eastAsia="仿宋" w:cs="仿宋"/>
          <w:color w:val="auto"/>
          <w:sz w:val="24"/>
          <w:szCs w:val="24"/>
        </w:rPr>
        <w:t>所有产品质量必须符合现行的国家标准或国家行政部门颁布的法律法规、规章制度等。没有国家标准的，可以参考行业标准。所有设备及辅材必须是未使用过的新产品，质量优良、渠道正当，配置合理。</w:t>
      </w:r>
      <w:r>
        <w:rPr>
          <w:rFonts w:ascii="仿宋" w:hAnsi="仿宋" w:eastAsia="仿宋" w:cs="仿宋"/>
          <w:color w:val="auto"/>
          <w:sz w:val="24"/>
          <w:szCs w:val="24"/>
          <w:lang w:eastAsia="zh-CN"/>
        </w:rPr>
        <w:t>（4）</w:t>
      </w:r>
      <w:r>
        <w:rPr>
          <w:rFonts w:ascii="仿宋" w:hAnsi="仿宋" w:eastAsia="仿宋" w:cs="仿宋"/>
          <w:color w:val="auto"/>
          <w:sz w:val="24"/>
          <w:szCs w:val="24"/>
        </w:rPr>
        <w:t>质保期出现的质量问题由中标人负责解决并承担所有费用。质保期后如需更换零部件，中标人应以优惠价提供。</w:t>
      </w:r>
    </w:p>
    <w:p>
      <w:pPr>
        <w:pStyle w:val="13"/>
        <w:spacing w:line="360" w:lineRule="auto"/>
        <w:ind w:firstLine="0"/>
        <w:rPr>
          <w:rFonts w:ascii="仿宋" w:hAnsi="仿宋" w:eastAsia="仿宋" w:cs="仿宋"/>
          <w:b/>
          <w:color w:val="auto"/>
          <w:sz w:val="24"/>
          <w:szCs w:val="24"/>
        </w:rPr>
      </w:pPr>
      <w:r>
        <w:rPr>
          <w:rFonts w:hint="eastAsia" w:ascii="仿宋" w:hAnsi="仿宋" w:eastAsia="仿宋" w:cs="仿宋"/>
          <w:b/>
          <w:color w:val="auto"/>
          <w:sz w:val="24"/>
          <w:szCs w:val="24"/>
        </w:rPr>
        <w:t>第六条 权利保证</w:t>
      </w:r>
      <w:bookmarkEnd w:id="66"/>
      <w:bookmarkEnd w:id="67"/>
      <w:bookmarkEnd w:id="68"/>
    </w:p>
    <w:p>
      <w:pPr>
        <w:pStyle w:val="9"/>
        <w:spacing w:line="360" w:lineRule="auto"/>
        <w:ind w:firstLine="480"/>
        <w:rPr>
          <w:rFonts w:hint="eastAsia" w:ascii="仿宋" w:hAnsi="仿宋" w:eastAsia="仿宋" w:cs="仿宋"/>
          <w:color w:val="auto"/>
          <w:sz w:val="24"/>
          <w:szCs w:val="24"/>
        </w:rPr>
      </w:pPr>
      <w:r>
        <w:rPr>
          <w:rFonts w:hint="eastAsia" w:ascii="仿宋" w:hAnsi="仿宋" w:eastAsia="仿宋" w:cs="仿宋"/>
          <w:color w:val="auto"/>
          <w:sz w:val="24"/>
          <w:szCs w:val="24"/>
        </w:rPr>
        <w:t>1、甲方有权对乙方提供的设备及系统进行验收。对验收不合格的产品甲方有权要求乙方更换，直至达到验收标准，由此造成的损失，甲方有权向乙方索赔。</w:t>
      </w:r>
    </w:p>
    <w:p>
      <w:pPr>
        <w:pStyle w:val="9"/>
        <w:spacing w:line="360" w:lineRule="auto"/>
        <w:ind w:firstLine="480"/>
        <w:rPr>
          <w:rFonts w:hint="eastAsia" w:ascii="仿宋" w:hAnsi="仿宋" w:eastAsia="仿宋" w:cs="仿宋"/>
          <w:color w:val="auto"/>
          <w:sz w:val="24"/>
          <w:szCs w:val="24"/>
        </w:rPr>
      </w:pPr>
      <w:r>
        <w:rPr>
          <w:rFonts w:hint="eastAsia" w:ascii="仿宋" w:hAnsi="仿宋" w:eastAsia="仿宋" w:cs="仿宋"/>
          <w:color w:val="auto"/>
          <w:sz w:val="24"/>
          <w:szCs w:val="24"/>
        </w:rPr>
        <w:t>2、甲方应在乙方安装和调试设备及系统时，给予合理的配合和协助，确保安装工作顺利进行。</w:t>
      </w:r>
    </w:p>
    <w:p>
      <w:pPr>
        <w:pStyle w:val="9"/>
        <w:spacing w:line="360" w:lineRule="auto"/>
        <w:ind w:firstLine="480"/>
        <w:rPr>
          <w:rFonts w:hint="eastAsia" w:ascii="仿宋" w:hAnsi="仿宋" w:eastAsia="仿宋" w:cs="仿宋"/>
          <w:color w:val="auto"/>
          <w:sz w:val="24"/>
          <w:szCs w:val="24"/>
        </w:rPr>
      </w:pPr>
      <w:r>
        <w:rPr>
          <w:rFonts w:hint="eastAsia" w:ascii="仿宋" w:hAnsi="仿宋" w:eastAsia="仿宋" w:cs="仿宋"/>
          <w:color w:val="auto"/>
          <w:sz w:val="24"/>
          <w:szCs w:val="24"/>
        </w:rPr>
        <w:t>3、</w:t>
      </w:r>
      <w:bookmarkStart w:id="69" w:name="_Hlk146706815"/>
      <w:r>
        <w:rPr>
          <w:rFonts w:hint="eastAsia" w:ascii="仿宋" w:hAnsi="仿宋" w:eastAsia="仿宋" w:cs="仿宋"/>
          <w:color w:val="auto"/>
          <w:sz w:val="24"/>
          <w:szCs w:val="24"/>
        </w:rPr>
        <w:t>乙方按合同约定履行义务后，</w:t>
      </w:r>
      <w:bookmarkEnd w:id="69"/>
      <w:r>
        <w:rPr>
          <w:rFonts w:hint="eastAsia" w:ascii="仿宋" w:hAnsi="仿宋" w:eastAsia="仿宋" w:cs="仿宋"/>
          <w:color w:val="auto"/>
          <w:sz w:val="24"/>
          <w:szCs w:val="24"/>
        </w:rPr>
        <w:t>甲方应按合同规定及时付款。</w:t>
      </w:r>
    </w:p>
    <w:p>
      <w:pPr>
        <w:pStyle w:val="13"/>
        <w:spacing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1.乙方保证对其出售的产品享有合法的权利。</w:t>
      </w:r>
    </w:p>
    <w:p>
      <w:pPr>
        <w:pStyle w:val="13"/>
        <w:spacing w:line="360" w:lineRule="auto"/>
        <w:ind w:firstLine="480" w:firstLineChars="200"/>
        <w:rPr>
          <w:rFonts w:ascii="仿宋" w:hAnsi="仿宋" w:eastAsia="仿宋" w:cs="仿宋"/>
          <w:sz w:val="24"/>
          <w:szCs w:val="24"/>
        </w:rPr>
      </w:pPr>
      <w:r>
        <w:rPr>
          <w:rFonts w:hint="eastAsia" w:ascii="仿宋" w:hAnsi="仿宋" w:eastAsia="仿宋" w:cs="仿宋"/>
          <w:color w:val="auto"/>
          <w:sz w:val="24"/>
          <w:szCs w:val="24"/>
        </w:rPr>
        <w:t>2.乙方保</w:t>
      </w:r>
      <w:r>
        <w:rPr>
          <w:rFonts w:hint="eastAsia" w:ascii="仿宋" w:hAnsi="仿宋" w:eastAsia="仿宋" w:cs="仿宋"/>
          <w:sz w:val="24"/>
          <w:szCs w:val="24"/>
        </w:rPr>
        <w:t>证对其出售的产品不存在任何未曾向甲方透露的担保物权，如抵押权、质押权、留置权。</w:t>
      </w:r>
    </w:p>
    <w:p>
      <w:pPr>
        <w:pStyle w:val="13"/>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3.乙方保证对其出售的产品或其任何一部分没有侵犯第三方的专利权、版权、商标权或其他权利。</w:t>
      </w:r>
    </w:p>
    <w:p>
      <w:pPr>
        <w:pStyle w:val="13"/>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4.如甲方在使用该产品构成上述侵权的，则由乙方承担全部责任。</w:t>
      </w:r>
    </w:p>
    <w:p>
      <w:pPr>
        <w:pStyle w:val="13"/>
        <w:spacing w:line="360" w:lineRule="auto"/>
        <w:ind w:firstLine="0"/>
        <w:rPr>
          <w:rFonts w:ascii="仿宋" w:hAnsi="仿宋" w:eastAsia="仿宋" w:cs="仿宋"/>
          <w:b/>
          <w:sz w:val="24"/>
          <w:szCs w:val="24"/>
        </w:rPr>
      </w:pPr>
      <w:bookmarkStart w:id="70" w:name="_Toc31505"/>
      <w:bookmarkStart w:id="71" w:name="_Toc31476"/>
      <w:bookmarkStart w:id="72" w:name="_Toc18410"/>
      <w:r>
        <w:rPr>
          <w:rFonts w:hint="eastAsia" w:ascii="仿宋" w:hAnsi="仿宋" w:eastAsia="仿宋" w:cs="仿宋"/>
          <w:b/>
          <w:sz w:val="24"/>
          <w:szCs w:val="24"/>
        </w:rPr>
        <w:t>第七条 售后服务</w:t>
      </w:r>
      <w:bookmarkEnd w:id="70"/>
      <w:bookmarkEnd w:id="71"/>
      <w:bookmarkEnd w:id="72"/>
    </w:p>
    <w:p>
      <w:pPr>
        <w:pStyle w:val="13"/>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1.乙方应按照国家有关法律法规以及招标文件要求和投标文件的售后方案提供服务。</w:t>
      </w:r>
    </w:p>
    <w:p>
      <w:pPr>
        <w:pStyle w:val="13"/>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w:t>
      </w:r>
      <w:r>
        <w:rPr>
          <w:rFonts w:hint="eastAsia" w:ascii="仿宋" w:hAnsi="仿宋" w:eastAsia="仿宋" w:cs="仿宋"/>
          <w:sz w:val="24"/>
          <w:szCs w:val="24"/>
        </w:rPr>
        <w:t>乙方负责提供产品相应的技术资料，包括产品合格证、使用说明书以及运输装箱清单等,并对所有技术资料的真实性、准确性、先进性、完整性负责</w:t>
      </w:r>
      <w:r>
        <w:rPr>
          <w:rFonts w:hint="eastAsia" w:ascii="仿宋" w:hAnsi="仿宋" w:eastAsia="仿宋" w:cs="仿宋"/>
          <w:kern w:val="0"/>
          <w:sz w:val="24"/>
          <w:szCs w:val="24"/>
        </w:rPr>
        <w:t>。</w:t>
      </w:r>
    </w:p>
    <w:p>
      <w:pPr>
        <w:pStyle w:val="13"/>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w:t>
      </w:r>
      <w:r>
        <w:rPr>
          <w:rFonts w:hint="eastAsia" w:ascii="仿宋" w:hAnsi="仿宋" w:eastAsia="仿宋" w:cs="仿宋"/>
          <w:sz w:val="24"/>
          <w:szCs w:val="24"/>
        </w:rPr>
        <w:t>售后服务：质保期内乙方对甲方提出的服务响应不得超出</w:t>
      </w:r>
      <w:r>
        <w:rPr>
          <w:rFonts w:hint="eastAsia" w:ascii="仿宋" w:hAnsi="仿宋" w:eastAsia="仿宋" w:cs="仿宋"/>
          <w:sz w:val="24"/>
          <w:szCs w:val="24"/>
          <w:u w:val="single"/>
        </w:rPr>
        <w:t xml:space="preserve">      </w:t>
      </w:r>
      <w:r>
        <w:rPr>
          <w:rFonts w:hint="eastAsia" w:ascii="仿宋" w:hAnsi="仿宋" w:eastAsia="仿宋" w:cs="仿宋"/>
          <w:sz w:val="24"/>
          <w:szCs w:val="24"/>
        </w:rPr>
        <w:t>小时。</w:t>
      </w:r>
    </w:p>
    <w:p>
      <w:pPr>
        <w:pStyle w:val="13"/>
        <w:spacing w:line="360" w:lineRule="auto"/>
        <w:ind w:firstLine="0"/>
        <w:rPr>
          <w:rFonts w:ascii="仿宋" w:hAnsi="仿宋" w:eastAsia="仿宋" w:cs="仿宋"/>
          <w:b/>
          <w:sz w:val="24"/>
          <w:szCs w:val="24"/>
        </w:rPr>
      </w:pPr>
      <w:bookmarkStart w:id="73" w:name="_Toc28698"/>
      <w:bookmarkStart w:id="74" w:name="_Toc3919"/>
      <w:bookmarkStart w:id="75" w:name="_Toc3711"/>
      <w:r>
        <w:rPr>
          <w:rFonts w:hint="eastAsia" w:ascii="仿宋" w:hAnsi="仿宋" w:eastAsia="仿宋" w:cs="仿宋"/>
          <w:b/>
          <w:sz w:val="24"/>
          <w:szCs w:val="24"/>
        </w:rPr>
        <w:t>第八条 违约责任</w:t>
      </w:r>
      <w:bookmarkEnd w:id="73"/>
      <w:bookmarkEnd w:id="74"/>
      <w:bookmarkEnd w:id="75"/>
    </w:p>
    <w:p>
      <w:pPr>
        <w:pStyle w:val="13"/>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1.甲方违约责任</w:t>
      </w:r>
    </w:p>
    <w:p>
      <w:pPr>
        <w:pStyle w:val="13"/>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（1）甲方无正当理由拒收产品的，甲方应偿付合同总价</w:t>
      </w:r>
      <w:r>
        <w:rPr>
          <w:rFonts w:hint="eastAsia" w:ascii="仿宋" w:hAnsi="仿宋" w:eastAsia="仿宋" w:cs="仿宋"/>
          <w:sz w:val="24"/>
          <w:szCs w:val="24"/>
          <w:u w:val="single"/>
        </w:rPr>
        <w:t xml:space="preserve">     </w:t>
      </w:r>
      <w:r>
        <w:rPr>
          <w:rFonts w:hint="eastAsia" w:ascii="仿宋" w:hAnsi="仿宋" w:eastAsia="仿宋" w:cs="仿宋"/>
          <w:sz w:val="24"/>
          <w:szCs w:val="24"/>
        </w:rPr>
        <w:t>%的违约金；</w:t>
      </w:r>
    </w:p>
    <w:p>
      <w:pPr>
        <w:pStyle w:val="13"/>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（2）甲方逾期支付货款的，除应及时付足货款外，应向乙方每天支付欠款总额</w:t>
      </w:r>
      <w:r>
        <w:rPr>
          <w:rFonts w:hint="eastAsia" w:ascii="仿宋" w:hAnsi="仿宋" w:eastAsia="仿宋" w:cs="仿宋"/>
          <w:sz w:val="24"/>
          <w:szCs w:val="24"/>
          <w:u w:val="single"/>
        </w:rPr>
        <w:t xml:space="preserve">    </w:t>
      </w:r>
      <w:r>
        <w:rPr>
          <w:rFonts w:hint="eastAsia" w:ascii="仿宋" w:hAnsi="仿宋" w:eastAsia="仿宋" w:cs="仿宋"/>
          <w:sz w:val="24"/>
          <w:szCs w:val="24"/>
        </w:rPr>
        <w:t>%的滞纳金；但累计滞纳金总额不超过欠款总额的</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13"/>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2.乙方违约责任</w:t>
      </w:r>
    </w:p>
    <w:p>
      <w:pPr>
        <w:pStyle w:val="13"/>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（1）如乙方不能交付产品，同时乙方应向甲方支付合同总价</w:t>
      </w:r>
      <w:r>
        <w:rPr>
          <w:rFonts w:hint="eastAsia" w:ascii="仿宋" w:hAnsi="仿宋" w:eastAsia="仿宋" w:cs="仿宋"/>
          <w:sz w:val="24"/>
          <w:szCs w:val="24"/>
          <w:u w:val="single"/>
        </w:rPr>
        <w:t xml:space="preserve">     </w:t>
      </w:r>
      <w:r>
        <w:rPr>
          <w:rFonts w:hint="eastAsia" w:ascii="仿宋" w:hAnsi="仿宋" w:eastAsia="仿宋" w:cs="仿宋"/>
          <w:kern w:val="0"/>
          <w:sz w:val="24"/>
          <w:szCs w:val="24"/>
        </w:rPr>
        <w:t>％的违约金；</w:t>
      </w:r>
    </w:p>
    <w:p>
      <w:pPr>
        <w:pStyle w:val="13"/>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（2）乙方逾期交付产品的，每逾期1天，乙方向甲方偿付逾期交付部分货款总额的</w:t>
      </w:r>
      <w:r>
        <w:rPr>
          <w:rFonts w:hint="eastAsia" w:ascii="仿宋" w:hAnsi="仿宋" w:eastAsia="仿宋" w:cs="仿宋"/>
          <w:sz w:val="24"/>
          <w:szCs w:val="24"/>
          <w:u w:val="single"/>
        </w:rPr>
        <w:t xml:space="preserve">     </w:t>
      </w:r>
      <w:r>
        <w:rPr>
          <w:rFonts w:hint="eastAsia" w:ascii="仿宋" w:hAnsi="仿宋" w:eastAsia="仿宋" w:cs="仿宋"/>
          <w:kern w:val="0"/>
          <w:sz w:val="24"/>
          <w:szCs w:val="24"/>
        </w:rPr>
        <w:t>%的滞纳金。如乙方逾期交付达</w:t>
      </w:r>
      <w:r>
        <w:rPr>
          <w:rFonts w:hint="eastAsia" w:ascii="仿宋" w:hAnsi="仿宋" w:eastAsia="仿宋" w:cs="仿宋"/>
          <w:sz w:val="24"/>
          <w:szCs w:val="24"/>
          <w:u w:val="single"/>
        </w:rPr>
        <w:t xml:space="preserve">     </w:t>
      </w:r>
      <w:r>
        <w:rPr>
          <w:rFonts w:hint="eastAsia" w:ascii="仿宋" w:hAnsi="仿宋" w:eastAsia="仿宋" w:cs="仿宋"/>
          <w:kern w:val="0"/>
          <w:sz w:val="24"/>
          <w:szCs w:val="24"/>
        </w:rPr>
        <w:t>天，甲方有权解除合同，解除合同的通知自到达乙方时生效，乙方应向甲方支付合同总价的</w:t>
      </w:r>
      <w:r>
        <w:rPr>
          <w:rFonts w:hint="eastAsia" w:ascii="仿宋" w:hAnsi="仿宋" w:eastAsia="仿宋" w:cs="仿宋"/>
          <w:sz w:val="24"/>
          <w:szCs w:val="24"/>
          <w:u w:val="single"/>
        </w:rPr>
        <w:t xml:space="preserve">     </w:t>
      </w:r>
      <w:r>
        <w:rPr>
          <w:rFonts w:hint="eastAsia" w:ascii="仿宋" w:hAnsi="仿宋" w:eastAsia="仿宋" w:cs="仿宋"/>
          <w:kern w:val="0"/>
          <w:sz w:val="24"/>
          <w:szCs w:val="24"/>
        </w:rPr>
        <w:t>%违约金，违约金不足以弥补甲方损失的，由乙方另行支付；</w:t>
      </w:r>
    </w:p>
    <w:p>
      <w:pPr>
        <w:pStyle w:val="13"/>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（3）乙方所交付的产品品种、规格不符合合同规定的，甲方有权拒收。甲方拒收的，乙方应向甲方支付货款总额</w:t>
      </w:r>
      <w:r>
        <w:rPr>
          <w:rFonts w:hint="eastAsia" w:ascii="仿宋" w:hAnsi="仿宋" w:eastAsia="仿宋" w:cs="仿宋"/>
          <w:sz w:val="24"/>
          <w:szCs w:val="24"/>
          <w:u w:val="single"/>
        </w:rPr>
        <w:t xml:space="preserve">     </w:t>
      </w:r>
      <w:r>
        <w:rPr>
          <w:rFonts w:hint="eastAsia" w:ascii="仿宋" w:hAnsi="仿宋" w:eastAsia="仿宋" w:cs="仿宋"/>
          <w:kern w:val="0"/>
          <w:sz w:val="24"/>
          <w:szCs w:val="24"/>
        </w:rPr>
        <w:t>%的违约金，并按甲方要求予以免费更换；</w:t>
      </w:r>
    </w:p>
    <w:p>
      <w:pPr>
        <w:pStyle w:val="13"/>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（4）乙方产品经甲方送交具有法定资格条件的质量技术监督机构检测后，如检测结果认定产品质量不符合本合同规定标准的，则视为乙方没有按时交付而违约，乙方须在</w:t>
      </w:r>
      <w:r>
        <w:rPr>
          <w:rFonts w:hint="eastAsia" w:ascii="仿宋" w:hAnsi="仿宋" w:eastAsia="仿宋" w:cs="仿宋"/>
          <w:sz w:val="24"/>
          <w:szCs w:val="24"/>
          <w:u w:val="single"/>
        </w:rPr>
        <w:t xml:space="preserve">     </w:t>
      </w:r>
      <w:r>
        <w:rPr>
          <w:rFonts w:hint="eastAsia" w:ascii="仿宋" w:hAnsi="仿宋" w:eastAsia="仿宋" w:cs="仿宋"/>
          <w:sz w:val="24"/>
          <w:szCs w:val="24"/>
        </w:rPr>
        <w:t>天内无条件更换合格的产品，如逾期不能更换合格的产品，甲方有权解除本合同，合同自书面解除通知到达乙方之日起解除，乙方应另向甲方支付货款总额的</w:t>
      </w:r>
      <w:r>
        <w:rPr>
          <w:rFonts w:hint="eastAsia" w:ascii="仿宋" w:hAnsi="仿宋" w:eastAsia="仿宋" w:cs="仿宋"/>
          <w:sz w:val="24"/>
          <w:szCs w:val="24"/>
          <w:u w:val="single"/>
        </w:rPr>
        <w:t xml:space="preserve">     </w:t>
      </w:r>
      <w:r>
        <w:rPr>
          <w:rFonts w:hint="eastAsia" w:ascii="仿宋" w:hAnsi="仿宋" w:eastAsia="仿宋" w:cs="仿宋"/>
          <w:sz w:val="24"/>
          <w:szCs w:val="24"/>
        </w:rPr>
        <w:t>%的违约金，违约金不足以弥补甲方损失的，由乙方另行支付；</w:t>
      </w:r>
    </w:p>
    <w:p>
      <w:pPr>
        <w:pStyle w:val="13"/>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5）在乙方承诺的或国家规定的质量保证期内（取两者中最长的期限），如经乙方两次更换，产品仍不能达到合同约定的质量标准，甲方有权退货，乙方应退回全部货款，并按第3款处理，同时，乙方还须赔偿甲方因此遭受的损失；</w:t>
      </w:r>
    </w:p>
    <w:p>
      <w:pPr>
        <w:pStyle w:val="13"/>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（6）乙方未按本合同的规定和售后服务方案提供伴随服务/售后服务的，应按合同总价款的</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%向甲方承担违约责任；</w:t>
      </w:r>
    </w:p>
    <w:p>
      <w:pPr>
        <w:pStyle w:val="13"/>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（7）乙方在承担上述1-6款一项或多项违约责任后，仍应继续履行合同规定的义务（甲方解除合同的除外）。甲方未能及时追究乙方的任何一项违约责任并不表明甲方放弃追究乙方该项或其他违约责任；</w:t>
      </w:r>
    </w:p>
    <w:p>
      <w:pPr>
        <w:pStyle w:val="13"/>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（8）乙方偿付的违约金不足以弥补甲方损失的，还应按甲方损失尚未弥补的部分，支付赔偿金给甲方。</w:t>
      </w:r>
    </w:p>
    <w:p>
      <w:pPr>
        <w:widowControl/>
        <w:spacing w:line="360" w:lineRule="auto"/>
        <w:ind w:firstLine="482"/>
        <w:jc w:val="left"/>
        <w:rPr>
          <w:rFonts w:ascii="仿宋" w:hAnsi="仿宋" w:eastAsia="仿宋" w:cs="仿宋"/>
          <w:kern w:val="0"/>
          <w:sz w:val="24"/>
          <w:szCs w:val="24"/>
        </w:rPr>
      </w:pPr>
      <w:bookmarkStart w:id="76" w:name="_Toc27557"/>
      <w:bookmarkStart w:id="77" w:name="_Toc17126"/>
      <w:bookmarkStart w:id="78" w:name="_Toc13805"/>
      <w:r>
        <w:rPr>
          <w:rFonts w:hint="eastAsia" w:ascii="仿宋" w:hAnsi="仿宋" w:eastAsia="仿宋" w:cs="仿宋"/>
          <w:b/>
          <w:sz w:val="24"/>
          <w:szCs w:val="24"/>
        </w:rPr>
        <w:t xml:space="preserve">第九条 </w:t>
      </w:r>
      <w:r>
        <w:rPr>
          <w:rFonts w:hint="eastAsia" w:ascii="仿宋" w:hAnsi="仿宋" w:eastAsia="仿宋" w:cs="仿宋"/>
          <w:b/>
          <w:kern w:val="0"/>
          <w:sz w:val="24"/>
          <w:szCs w:val="24"/>
        </w:rPr>
        <w:t>合同的变更和终止</w:t>
      </w:r>
      <w:bookmarkEnd w:id="76"/>
      <w:bookmarkEnd w:id="77"/>
      <w:bookmarkEnd w:id="78"/>
    </w:p>
    <w:p>
      <w:pPr>
        <w:widowControl/>
        <w:spacing w:line="360" w:lineRule="auto"/>
        <w:ind w:firstLine="480"/>
        <w:jc w:val="left"/>
        <w:rPr>
          <w:rFonts w:ascii="仿宋" w:hAnsi="仿宋" w:eastAsia="仿宋" w:cs="仿宋"/>
          <w:kern w:val="0"/>
          <w:sz w:val="24"/>
          <w:szCs w:val="24"/>
        </w:rPr>
      </w:pPr>
      <w:r>
        <w:rPr>
          <w:rFonts w:hint="eastAsia" w:ascii="仿宋" w:hAnsi="仿宋" w:eastAsia="仿宋" w:cs="仿宋"/>
          <w:kern w:val="0"/>
          <w:sz w:val="24"/>
          <w:szCs w:val="24"/>
        </w:rPr>
        <w:t>除《中华人民共和国政府采购法》第49条、第50条第二款规定的情形外，本合同一经签订，甲乙双方不得擅自变更、中止或终止合同。</w:t>
      </w:r>
    </w:p>
    <w:p>
      <w:pPr>
        <w:widowControl/>
        <w:spacing w:line="360" w:lineRule="auto"/>
        <w:ind w:firstLine="482"/>
        <w:jc w:val="left"/>
        <w:rPr>
          <w:rFonts w:ascii="仿宋" w:hAnsi="仿宋" w:eastAsia="仿宋" w:cs="仿宋"/>
          <w:b/>
          <w:kern w:val="0"/>
          <w:sz w:val="24"/>
          <w:szCs w:val="24"/>
        </w:rPr>
      </w:pPr>
      <w:bookmarkStart w:id="79" w:name="_Toc13338"/>
      <w:bookmarkStart w:id="80" w:name="_Toc29986"/>
      <w:bookmarkStart w:id="81" w:name="_Toc16869"/>
      <w:r>
        <w:rPr>
          <w:rFonts w:hint="eastAsia" w:ascii="仿宋" w:hAnsi="仿宋" w:eastAsia="仿宋" w:cs="仿宋"/>
          <w:b/>
          <w:kern w:val="0"/>
          <w:sz w:val="24"/>
          <w:szCs w:val="24"/>
        </w:rPr>
        <w:t>第十条 争议的解决</w:t>
      </w:r>
      <w:bookmarkEnd w:id="79"/>
      <w:bookmarkEnd w:id="80"/>
      <w:bookmarkEnd w:id="81"/>
    </w:p>
    <w:p>
      <w:pPr>
        <w:pStyle w:val="13"/>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1.因产品的质量问题发生争议，由质量技术监督部门或其指定的质量鉴定机构进行质量鉴定。产品符合标准的，鉴定费由甲方承担；产品不符合质量标准的，鉴定费由乙方承担。</w:t>
      </w:r>
    </w:p>
    <w:p>
      <w:pPr>
        <w:pStyle w:val="13"/>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2.因履行本合同引起的或与本合同有关的一切争议，甲、乙双方应首先通过友好协商解决，如果协商开始后六十（60）天还不能解决，双方可采取以下第</w:t>
      </w:r>
      <w:r>
        <w:rPr>
          <w:rFonts w:hint="eastAsia" w:ascii="仿宋" w:hAnsi="仿宋" w:eastAsia="仿宋" w:cs="仿宋"/>
          <w:kern w:val="0"/>
          <w:sz w:val="24"/>
          <w:szCs w:val="24"/>
          <w:u w:val="single"/>
        </w:rPr>
        <w:t xml:space="preserve">  （1）  </w:t>
      </w:r>
      <w:r>
        <w:rPr>
          <w:rFonts w:hint="eastAsia" w:ascii="仿宋" w:hAnsi="仿宋" w:eastAsia="仿宋" w:cs="仿宋"/>
          <w:kern w:val="0"/>
          <w:sz w:val="24"/>
          <w:szCs w:val="24"/>
        </w:rPr>
        <w:t>种方式解决争议：</w:t>
      </w:r>
    </w:p>
    <w:p>
      <w:pPr>
        <w:pStyle w:val="13"/>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（1）向有管辖权的人民法院起诉；</w:t>
      </w:r>
    </w:p>
    <w:p>
      <w:pPr>
        <w:pStyle w:val="13"/>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（2）双方达成仲裁协议，向约定的仲裁委员会申请仲裁。</w:t>
      </w:r>
    </w:p>
    <w:p>
      <w:pPr>
        <w:pStyle w:val="13"/>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3.在诉讼期间，本合同应继续履行。</w:t>
      </w:r>
    </w:p>
    <w:p>
      <w:pPr>
        <w:widowControl/>
        <w:spacing w:line="360" w:lineRule="auto"/>
        <w:ind w:firstLine="482"/>
        <w:jc w:val="left"/>
        <w:rPr>
          <w:rFonts w:ascii="仿宋" w:hAnsi="仿宋" w:eastAsia="仿宋" w:cs="仿宋"/>
          <w:b/>
          <w:kern w:val="0"/>
          <w:sz w:val="24"/>
          <w:szCs w:val="24"/>
        </w:rPr>
      </w:pPr>
      <w:bookmarkStart w:id="82" w:name="_Toc24039"/>
      <w:bookmarkStart w:id="83" w:name="_Toc26051"/>
      <w:bookmarkStart w:id="84" w:name="_Toc6911"/>
      <w:r>
        <w:rPr>
          <w:rFonts w:hint="eastAsia" w:ascii="仿宋" w:hAnsi="仿宋" w:eastAsia="仿宋" w:cs="仿宋"/>
          <w:b/>
          <w:kern w:val="0"/>
          <w:sz w:val="24"/>
          <w:szCs w:val="24"/>
        </w:rPr>
        <w:t>第十一条 合同文件</w:t>
      </w:r>
      <w:bookmarkEnd w:id="82"/>
      <w:bookmarkEnd w:id="83"/>
      <w:bookmarkEnd w:id="84"/>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详细技术说明及其他有关合同项目的特定信息由合同附件予以说明，下列文件构成本合同的组成部分，应该认为是一个整体，彼此相互解释，相互补充。组成合同的多个文件的优先支配地位的次序如下：</w:t>
      </w:r>
    </w:p>
    <w:p>
      <w:pPr>
        <w:spacing w:line="360" w:lineRule="auto"/>
        <w:ind w:firstLine="480"/>
        <w:rPr>
          <w:rFonts w:ascii="仿宋" w:hAnsi="仿宋" w:eastAsia="仿宋" w:cs="仿宋"/>
          <w:sz w:val="24"/>
          <w:szCs w:val="24"/>
        </w:rPr>
      </w:pPr>
      <w:r>
        <w:rPr>
          <w:rFonts w:hint="eastAsia" w:ascii="仿宋" w:hAnsi="仿宋" w:eastAsia="仿宋" w:cs="仿宋"/>
          <w:sz w:val="24"/>
          <w:szCs w:val="24"/>
        </w:rPr>
        <w:t>1.本合同书</w:t>
      </w:r>
    </w:p>
    <w:p>
      <w:pPr>
        <w:spacing w:line="360" w:lineRule="auto"/>
        <w:ind w:firstLine="480"/>
        <w:rPr>
          <w:rFonts w:ascii="仿宋" w:hAnsi="仿宋" w:eastAsia="仿宋" w:cs="仿宋"/>
          <w:sz w:val="24"/>
          <w:szCs w:val="24"/>
        </w:rPr>
      </w:pPr>
      <w:r>
        <w:rPr>
          <w:rFonts w:hint="eastAsia" w:ascii="仿宋" w:hAnsi="仿宋" w:eastAsia="仿宋" w:cs="仿宋"/>
          <w:sz w:val="24"/>
          <w:szCs w:val="24"/>
        </w:rPr>
        <w:t>2.中标通知书</w:t>
      </w:r>
      <w:r>
        <w:rPr>
          <w:rFonts w:hint="eastAsia" w:ascii="仿宋" w:hAnsi="仿宋" w:eastAsia="仿宋" w:cs="仿宋"/>
          <w:sz w:val="24"/>
          <w:szCs w:val="24"/>
        </w:rPr>
        <w:tab/>
      </w:r>
    </w:p>
    <w:p>
      <w:pPr>
        <w:spacing w:line="360" w:lineRule="auto"/>
        <w:ind w:firstLine="480"/>
        <w:rPr>
          <w:rFonts w:ascii="仿宋" w:hAnsi="仿宋" w:eastAsia="仿宋" w:cs="仿宋"/>
          <w:sz w:val="24"/>
          <w:szCs w:val="24"/>
        </w:rPr>
      </w:pPr>
      <w:r>
        <w:rPr>
          <w:rFonts w:hint="eastAsia" w:ascii="仿宋" w:hAnsi="仿宋" w:eastAsia="仿宋" w:cs="仿宋"/>
          <w:sz w:val="24"/>
          <w:szCs w:val="24"/>
        </w:rPr>
        <w:t>3.招标文件(含澄清或者修改文件)</w:t>
      </w:r>
    </w:p>
    <w:p>
      <w:pPr>
        <w:spacing w:line="360" w:lineRule="auto"/>
        <w:ind w:firstLine="480"/>
        <w:rPr>
          <w:rFonts w:ascii="仿宋" w:hAnsi="仿宋" w:eastAsia="仿宋" w:cs="仿宋"/>
          <w:sz w:val="24"/>
          <w:szCs w:val="24"/>
        </w:rPr>
      </w:pPr>
      <w:r>
        <w:rPr>
          <w:rFonts w:hint="eastAsia" w:ascii="仿宋" w:hAnsi="仿宋" w:eastAsia="仿宋" w:cs="仿宋"/>
          <w:sz w:val="24"/>
          <w:szCs w:val="24"/>
        </w:rPr>
        <w:t>4.投标文件</w:t>
      </w:r>
    </w:p>
    <w:p>
      <w:pPr>
        <w:widowControl/>
        <w:spacing w:line="360" w:lineRule="auto"/>
        <w:ind w:firstLine="482"/>
        <w:jc w:val="left"/>
        <w:rPr>
          <w:rFonts w:ascii="仿宋" w:hAnsi="仿宋" w:eastAsia="仿宋" w:cs="仿宋"/>
          <w:b/>
          <w:kern w:val="0"/>
          <w:sz w:val="24"/>
          <w:szCs w:val="24"/>
        </w:rPr>
      </w:pPr>
      <w:bookmarkStart w:id="85" w:name="_Toc1382"/>
      <w:bookmarkStart w:id="86" w:name="_Toc13842"/>
      <w:bookmarkStart w:id="87" w:name="_Toc32342"/>
      <w:r>
        <w:rPr>
          <w:rFonts w:hint="eastAsia" w:ascii="仿宋" w:hAnsi="仿宋" w:eastAsia="仿宋" w:cs="仿宋"/>
          <w:b/>
          <w:kern w:val="0"/>
          <w:sz w:val="24"/>
          <w:szCs w:val="24"/>
        </w:rPr>
        <w:t>第十二条 合同生效及其他</w:t>
      </w:r>
      <w:bookmarkEnd w:id="85"/>
      <w:bookmarkEnd w:id="86"/>
      <w:bookmarkEnd w:id="87"/>
    </w:p>
    <w:p>
      <w:pPr>
        <w:spacing w:line="360" w:lineRule="auto"/>
        <w:ind w:firstLine="480"/>
        <w:rPr>
          <w:rFonts w:ascii="仿宋" w:hAnsi="仿宋" w:eastAsia="仿宋" w:cs="仿宋"/>
          <w:sz w:val="24"/>
          <w:szCs w:val="24"/>
        </w:rPr>
      </w:pPr>
      <w:r>
        <w:rPr>
          <w:rFonts w:hint="eastAsia" w:ascii="仿宋" w:hAnsi="仿宋" w:eastAsia="仿宋" w:cs="仿宋"/>
          <w:kern w:val="0"/>
          <w:sz w:val="24"/>
          <w:szCs w:val="24"/>
        </w:rPr>
        <w:t>1.</w:t>
      </w:r>
      <w:r>
        <w:rPr>
          <w:rFonts w:hint="eastAsia" w:ascii="仿宋" w:hAnsi="仿宋" w:eastAsia="仿宋" w:cs="仿宋"/>
          <w:sz w:val="24"/>
          <w:szCs w:val="24"/>
        </w:rPr>
        <w:t>如有未尽事宜，由双方依法订立补充合同，补充合同与本合同效力一致。</w:t>
      </w:r>
    </w:p>
    <w:p>
      <w:pPr>
        <w:spacing w:line="360" w:lineRule="auto"/>
        <w:ind w:firstLine="480"/>
        <w:rPr>
          <w:rFonts w:ascii="仿宋" w:hAnsi="仿宋" w:eastAsia="仿宋" w:cs="仿宋"/>
          <w:kern w:val="0"/>
          <w:sz w:val="24"/>
          <w:szCs w:val="24"/>
        </w:rPr>
      </w:pPr>
      <w:r>
        <w:rPr>
          <w:rFonts w:hint="eastAsia" w:ascii="仿宋" w:hAnsi="仿宋" w:eastAsia="仿宋" w:cs="仿宋"/>
          <w:kern w:val="0"/>
          <w:sz w:val="24"/>
          <w:szCs w:val="24"/>
        </w:rPr>
        <w:t>2.本合同自双方签字、盖章之日起生效。</w:t>
      </w:r>
    </w:p>
    <w:p>
      <w:pPr>
        <w:spacing w:line="360" w:lineRule="auto"/>
        <w:ind w:firstLine="480"/>
        <w:rPr>
          <w:rFonts w:ascii="仿宋" w:hAnsi="仿宋" w:eastAsia="仿宋" w:cs="仿宋"/>
          <w:sz w:val="24"/>
          <w:szCs w:val="24"/>
        </w:rPr>
      </w:pPr>
      <w:r>
        <w:rPr>
          <w:rFonts w:hint="eastAsia" w:ascii="仿宋" w:hAnsi="仿宋" w:eastAsia="仿宋" w:cs="仿宋"/>
          <w:kern w:val="0"/>
          <w:sz w:val="24"/>
          <w:szCs w:val="24"/>
        </w:rPr>
        <w:t>3.本合同一式</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份，具有同等法律效力，甲乙双方各执</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份。</w:t>
      </w:r>
    </w:p>
    <w:p>
      <w:pPr>
        <w:spacing w:line="360" w:lineRule="auto"/>
        <w:ind w:firstLine="480"/>
        <w:rPr>
          <w:rFonts w:ascii="仿宋" w:hAnsi="仿宋" w:eastAsia="仿宋" w:cs="仿宋"/>
          <w:sz w:val="24"/>
          <w:szCs w:val="24"/>
        </w:rPr>
      </w:pPr>
      <w:r>
        <w:rPr>
          <w:rFonts w:hint="eastAsia" w:ascii="仿宋" w:hAnsi="仿宋" w:eastAsia="仿宋" w:cs="仿宋"/>
          <w:sz w:val="24"/>
          <w:szCs w:val="24"/>
        </w:rPr>
        <w:t>4.合同附件：招标文件、投标文件、中标通知书</w:t>
      </w:r>
    </w:p>
    <w:p>
      <w:pPr>
        <w:spacing w:line="360" w:lineRule="auto"/>
        <w:ind w:firstLine="480"/>
        <w:rPr>
          <w:rFonts w:ascii="仿宋" w:hAnsi="仿宋" w:eastAsia="仿宋" w:cs="仿宋"/>
          <w:sz w:val="24"/>
          <w:szCs w:val="24"/>
        </w:rPr>
      </w:pPr>
      <w:bookmarkStart w:id="88" w:name="_GoBack"/>
      <w:bookmarkEnd w:id="88"/>
    </w:p>
    <w:p>
      <w:pPr>
        <w:spacing w:line="360" w:lineRule="auto"/>
        <w:ind w:firstLine="480"/>
        <w:rPr>
          <w:rFonts w:ascii="仿宋" w:hAnsi="仿宋" w:eastAsia="仿宋" w:cs="仿宋"/>
          <w:sz w:val="24"/>
          <w:szCs w:val="24"/>
        </w:rPr>
      </w:pPr>
      <w:r>
        <w:rPr>
          <w:rFonts w:hint="eastAsia" w:ascii="仿宋" w:hAnsi="仿宋" w:eastAsia="仿宋" w:cs="仿宋"/>
          <w:sz w:val="24"/>
          <w:szCs w:val="24"/>
        </w:rPr>
        <w:t xml:space="preserve">甲方：   （盖章）   </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乙方：   （盖章）</w:t>
      </w:r>
    </w:p>
    <w:p>
      <w:pPr>
        <w:spacing w:line="360" w:lineRule="auto"/>
        <w:ind w:firstLine="480"/>
        <w:rPr>
          <w:rFonts w:ascii="仿宋" w:hAnsi="仿宋" w:eastAsia="仿宋" w:cs="仿宋"/>
          <w:sz w:val="24"/>
          <w:szCs w:val="24"/>
        </w:rPr>
      </w:pPr>
      <w:r>
        <w:rPr>
          <w:rFonts w:hint="eastAsia" w:ascii="仿宋" w:hAnsi="仿宋" w:eastAsia="仿宋" w:cs="仿宋"/>
          <w:sz w:val="24"/>
          <w:szCs w:val="24"/>
        </w:rPr>
        <w:t>法定代表人/委托代理人：            法定代表人/委托代理人：</w:t>
      </w:r>
    </w:p>
    <w:p>
      <w:pPr>
        <w:spacing w:line="360" w:lineRule="auto"/>
        <w:ind w:firstLine="480"/>
        <w:rPr>
          <w:rFonts w:ascii="仿宋" w:hAnsi="仿宋" w:eastAsia="仿宋" w:cs="仿宋"/>
          <w:sz w:val="24"/>
          <w:szCs w:val="24"/>
        </w:rPr>
      </w:pPr>
      <w:r>
        <w:rPr>
          <w:rFonts w:hint="eastAsia" w:ascii="仿宋" w:hAnsi="仿宋" w:eastAsia="仿宋" w:cs="仿宋"/>
          <w:sz w:val="24"/>
          <w:szCs w:val="24"/>
        </w:rPr>
        <w:t>地    址：                         地    址：</w:t>
      </w:r>
    </w:p>
    <w:p>
      <w:pPr>
        <w:spacing w:line="360" w:lineRule="auto"/>
        <w:ind w:firstLine="480"/>
        <w:rPr>
          <w:rFonts w:ascii="仿宋" w:hAnsi="仿宋" w:eastAsia="仿宋" w:cs="仿宋"/>
          <w:sz w:val="24"/>
          <w:szCs w:val="24"/>
        </w:rPr>
      </w:pPr>
      <w:r>
        <w:rPr>
          <w:rFonts w:hint="eastAsia" w:ascii="仿宋" w:hAnsi="仿宋" w:eastAsia="仿宋" w:cs="仿宋"/>
          <w:sz w:val="24"/>
          <w:szCs w:val="24"/>
        </w:rPr>
        <w:t>开户银行：                         开户银行：</w:t>
      </w:r>
    </w:p>
    <w:p>
      <w:pPr>
        <w:spacing w:line="360" w:lineRule="auto"/>
        <w:ind w:firstLine="480"/>
        <w:rPr>
          <w:rFonts w:ascii="仿宋" w:hAnsi="仿宋" w:eastAsia="仿宋" w:cs="仿宋"/>
          <w:sz w:val="24"/>
          <w:szCs w:val="24"/>
        </w:rPr>
      </w:pPr>
      <w:r>
        <w:rPr>
          <w:rFonts w:hint="eastAsia" w:ascii="仿宋" w:hAnsi="仿宋" w:eastAsia="仿宋" w:cs="仿宋"/>
          <w:sz w:val="24"/>
          <w:szCs w:val="24"/>
        </w:rPr>
        <w:t>账    号：                         账    号：</w:t>
      </w:r>
    </w:p>
    <w:p>
      <w:pPr>
        <w:spacing w:line="360" w:lineRule="auto"/>
        <w:ind w:firstLine="480"/>
        <w:rPr>
          <w:rFonts w:ascii="仿宋" w:hAnsi="仿宋" w:eastAsia="仿宋" w:cs="仿宋"/>
          <w:sz w:val="24"/>
          <w:szCs w:val="24"/>
        </w:rPr>
      </w:pPr>
      <w:r>
        <w:rPr>
          <w:rFonts w:hint="eastAsia" w:ascii="仿宋" w:hAnsi="仿宋" w:eastAsia="仿宋" w:cs="仿宋"/>
          <w:sz w:val="24"/>
          <w:szCs w:val="24"/>
        </w:rPr>
        <w:t>电    话：                         电    话：</w:t>
      </w:r>
    </w:p>
    <w:p>
      <w:pPr>
        <w:spacing w:line="360" w:lineRule="auto"/>
        <w:ind w:firstLine="480"/>
        <w:rPr>
          <w:rFonts w:ascii="仿宋" w:hAnsi="仿宋" w:eastAsia="仿宋" w:cs="仿宋"/>
          <w:sz w:val="24"/>
          <w:szCs w:val="24"/>
        </w:rPr>
      </w:pPr>
      <w:r>
        <w:rPr>
          <w:rFonts w:hint="eastAsia" w:ascii="仿宋" w:hAnsi="仿宋" w:eastAsia="仿宋" w:cs="仿宋"/>
          <w:sz w:val="24"/>
          <w:szCs w:val="24"/>
        </w:rPr>
        <w:t>传    真：                         传    真：</w:t>
      </w:r>
    </w:p>
    <w:p>
      <w:pPr>
        <w:spacing w:line="360" w:lineRule="auto"/>
        <w:ind w:firstLine="480"/>
        <w:rPr>
          <w:rFonts w:ascii="仿宋" w:hAnsi="仿宋" w:eastAsia="仿宋" w:cs="仿宋"/>
          <w:sz w:val="24"/>
          <w:szCs w:val="24"/>
        </w:rPr>
      </w:pPr>
      <w:r>
        <w:rPr>
          <w:rFonts w:hint="eastAsia" w:ascii="仿宋" w:hAnsi="仿宋" w:eastAsia="仿宋" w:cs="仿宋"/>
          <w:sz w:val="24"/>
          <w:szCs w:val="24"/>
        </w:rPr>
        <w:t>签约日期：    年  月  日           签约日期：    年  月  日</w:t>
      </w:r>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D141AD1B-2606-41DB-88AD-93FAF59E4F17}"/>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2" w:fontKey="{1C7A1066-8CF3-4F8E-94EA-A9ED1EA4F478}"/>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38E42B80"/>
    <w:rsid w:val="020E02AA"/>
    <w:rsid w:val="07E51AAD"/>
    <w:rsid w:val="0A5D7932"/>
    <w:rsid w:val="0B1A04DC"/>
    <w:rsid w:val="0C0544CC"/>
    <w:rsid w:val="123F625E"/>
    <w:rsid w:val="17E72CD8"/>
    <w:rsid w:val="180B4E43"/>
    <w:rsid w:val="1D3C6D55"/>
    <w:rsid w:val="263C4B36"/>
    <w:rsid w:val="264913D7"/>
    <w:rsid w:val="2A7C59B7"/>
    <w:rsid w:val="321150C9"/>
    <w:rsid w:val="33613CE8"/>
    <w:rsid w:val="33E4755F"/>
    <w:rsid w:val="354F3848"/>
    <w:rsid w:val="38E42B80"/>
    <w:rsid w:val="397078B6"/>
    <w:rsid w:val="3D0A09CF"/>
    <w:rsid w:val="448877E0"/>
    <w:rsid w:val="4FB97F09"/>
    <w:rsid w:val="56881917"/>
    <w:rsid w:val="56B31FEC"/>
    <w:rsid w:val="59F42A57"/>
    <w:rsid w:val="5CE31541"/>
    <w:rsid w:val="643B2AF7"/>
    <w:rsid w:val="67865497"/>
    <w:rsid w:val="6BF95CAB"/>
    <w:rsid w:val="70427DDE"/>
    <w:rsid w:val="70695446"/>
    <w:rsid w:val="73920EBF"/>
    <w:rsid w:val="73D828EE"/>
    <w:rsid w:val="759A04FF"/>
    <w:rsid w:val="7A6723E9"/>
    <w:rsid w:val="7A6C1F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黑体"/>
      <w:kern w:val="2"/>
      <w:sz w:val="21"/>
      <w:szCs w:val="24"/>
      <w:lang w:val="en-US" w:eastAsia="zh-CN" w:bidi="ar-SA"/>
    </w:rPr>
  </w:style>
  <w:style w:type="paragraph" w:styleId="3">
    <w:name w:val="heading 1"/>
    <w:basedOn w:val="1"/>
    <w:next w:val="1"/>
    <w:autoRedefine/>
    <w:qFormat/>
    <w:uiPriority w:val="0"/>
    <w:pPr>
      <w:jc w:val="center"/>
      <w:outlineLvl w:val="0"/>
    </w:pPr>
    <w:rPr>
      <w:rFonts w:ascii="宋体" w:hAnsi="宋体"/>
      <w:b/>
      <w:sz w:val="36"/>
    </w:rPr>
  </w:style>
  <w:style w:type="paragraph" w:styleId="4">
    <w:name w:val="heading 2"/>
    <w:basedOn w:val="1"/>
    <w:next w:val="1"/>
    <w:autoRedefine/>
    <w:qFormat/>
    <w:uiPriority w:val="0"/>
    <w:pPr>
      <w:spacing w:line="360" w:lineRule="auto"/>
      <w:jc w:val="center"/>
      <w:outlineLvl w:val="1"/>
    </w:pPr>
    <w:rPr>
      <w:rFonts w:ascii="Arial" w:hAnsi="Arial" w:eastAsia="黑体"/>
      <w:b/>
      <w:bCs/>
      <w:kern w:val="0"/>
      <w:sz w:val="32"/>
      <w:szCs w:val="32"/>
    </w:rPr>
  </w:style>
  <w:style w:type="paragraph" w:styleId="2">
    <w:name w:val="heading 4"/>
    <w:basedOn w:val="1"/>
    <w:next w:val="1"/>
    <w:autoRedefine/>
    <w:unhideWhenUsed/>
    <w:qFormat/>
    <w:uiPriority w:val="0"/>
    <w:pPr>
      <w:keepNext/>
      <w:keepLines/>
      <w:spacing w:before="280" w:after="290" w:line="372" w:lineRule="auto"/>
      <w:outlineLvl w:val="3"/>
    </w:pPr>
    <w:rPr>
      <w:rFonts w:ascii="Arial" w:hAnsi="Arial" w:eastAsia="黑体"/>
      <w:b/>
      <w:sz w:val="28"/>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1"/>
    <w:autoRedefine/>
    <w:qFormat/>
    <w:uiPriority w:val="0"/>
    <w:pPr>
      <w:adjustRightInd w:val="0"/>
      <w:spacing w:line="312" w:lineRule="atLeast"/>
      <w:ind w:firstLine="420"/>
      <w:textAlignment w:val="baseline"/>
    </w:pPr>
    <w:rPr>
      <w:rFonts w:ascii="宋体"/>
      <w:kern w:val="0"/>
    </w:rPr>
  </w:style>
  <w:style w:type="paragraph" w:styleId="6">
    <w:name w:val="Body Text"/>
    <w:basedOn w:val="1"/>
    <w:next w:val="1"/>
    <w:autoRedefine/>
    <w:qFormat/>
    <w:uiPriority w:val="0"/>
    <w:pPr>
      <w:spacing w:after="120"/>
    </w:pPr>
    <w:rPr>
      <w:rFonts w:ascii="Times New Roman" w:hAnsi="Times New Roman"/>
    </w:rPr>
  </w:style>
  <w:style w:type="paragraph" w:styleId="7">
    <w:name w:val="Body Text Indent"/>
    <w:basedOn w:val="1"/>
    <w:next w:val="8"/>
    <w:autoRedefine/>
    <w:qFormat/>
    <w:uiPriority w:val="0"/>
    <w:pPr>
      <w:spacing w:after="120"/>
      <w:ind w:left="420" w:leftChars="200"/>
    </w:pPr>
    <w:rPr>
      <w:b/>
      <w:color w:val="000000"/>
      <w:kern w:val="0"/>
      <w:sz w:val="24"/>
      <w:szCs w:val="24"/>
    </w:rPr>
  </w:style>
  <w:style w:type="paragraph" w:styleId="8">
    <w:name w:val="envelope return"/>
    <w:basedOn w:val="1"/>
    <w:autoRedefine/>
    <w:qFormat/>
    <w:uiPriority w:val="0"/>
    <w:pPr>
      <w:snapToGrid w:val="0"/>
    </w:pPr>
    <w:rPr>
      <w:rFonts w:ascii="Arial" w:hAnsi="Arial"/>
    </w:rPr>
  </w:style>
  <w:style w:type="paragraph" w:styleId="9">
    <w:name w:val="footer"/>
    <w:basedOn w:val="1"/>
    <w:autoRedefine/>
    <w:qFormat/>
    <w:uiPriority w:val="0"/>
    <w:pPr>
      <w:tabs>
        <w:tab w:val="center" w:pos="4140"/>
        <w:tab w:val="right" w:pos="8300"/>
      </w:tabs>
      <w:snapToGrid w:val="0"/>
      <w:jc w:val="left"/>
    </w:pPr>
    <w:rPr>
      <w:rFonts w:ascii="Times New Roman" w:hAnsi="Times New Roman" w:cs="Times New Roman"/>
      <w:sz w:val="18"/>
    </w:rPr>
  </w:style>
  <w:style w:type="paragraph" w:styleId="10">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customStyle="1" w:styleId="13">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4">
    <w:name w:val="标题 41"/>
    <w:basedOn w:val="1"/>
    <w:autoRedefine/>
    <w:qFormat/>
    <w:uiPriority w:val="1"/>
    <w:pPr>
      <w:ind w:left="1745"/>
      <w:jc w:val="left"/>
      <w:outlineLvl w:val="4"/>
    </w:pPr>
    <w:rPr>
      <w:rFonts w:ascii="宋体" w:hAnsi="宋体"/>
      <w:kern w:val="0"/>
      <w:sz w:val="26"/>
      <w:szCs w:val="26"/>
      <w:lang w:eastAsia="en-US"/>
    </w:rPr>
  </w:style>
  <w:style w:type="paragraph" w:customStyle="1" w:styleId="15">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懛鰦</cp:lastModifiedBy>
  <dcterms:modified xsi:type="dcterms:W3CDTF">2025-04-21T08:50:22Z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1CCEC583AA234E7190960739386B8EF1_11</vt:lpwstr>
  </property>
</Properties>
</file>