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版本号：SCZE2024-ZB-3085-001(R)20250422001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数字签名系统配套设备采购项目(二次)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SCZE2024-ZB-3085-001(R)</w:t>
      </w:r>
      <w:r>
        <w:br/>
      </w:r>
      <w:r>
        <w:br/>
      </w:r>
      <w:r>
        <w:br/>
      </w:r>
    </w:p>
    <w:p>
      <w:pPr>
        <w:pStyle w:val="null3"/>
        <w:jc w:val="center"/>
        <w:outlineLvl w:val="2"/>
      </w:pPr>
      <w:r>
        <w:rPr>
          <w:rFonts w:ascii="仿宋_GB2312" w:hAnsi="仿宋_GB2312" w:cs="仿宋_GB2312" w:eastAsia="仿宋_GB2312"/>
          <w:sz w:val="28"/>
          <w:b/>
        </w:rPr>
        <w:t>西安市中医医院</w:t>
      </w:r>
    </w:p>
    <w:p>
      <w:pPr>
        <w:pStyle w:val="null3"/>
        <w:jc w:val="center"/>
        <w:outlineLvl w:val="2"/>
      </w:pPr>
      <w:r>
        <w:rPr>
          <w:rFonts w:ascii="仿宋_GB2312" w:hAnsi="仿宋_GB2312" w:cs="仿宋_GB2312" w:eastAsia="仿宋_GB2312"/>
          <w:sz w:val="28"/>
          <w:b/>
        </w:rPr>
        <w:t>陕西省采购招标有限责任公司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2025年04月22日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陕西省采购招标有限责任公司</w:t>
      </w:r>
      <w:r>
        <w:rPr>
          <w:rFonts w:ascii="仿宋_GB2312" w:hAnsi="仿宋_GB2312" w:cs="仿宋_GB2312" w:eastAsia="仿宋_GB2312"/>
        </w:rPr>
        <w:t>（以下简称“代理机构”）受</w:t>
      </w:r>
      <w:r>
        <w:rPr>
          <w:rFonts w:ascii="仿宋_GB2312" w:hAnsi="仿宋_GB2312" w:cs="仿宋_GB2312" w:eastAsia="仿宋_GB2312"/>
        </w:rPr>
        <w:t>西安市中医医院</w:t>
      </w:r>
      <w:r>
        <w:rPr>
          <w:rFonts w:ascii="仿宋_GB2312" w:hAnsi="仿宋_GB2312" w:cs="仿宋_GB2312" w:eastAsia="仿宋_GB2312"/>
        </w:rPr>
        <w:t>委托，拟对</w:t>
      </w:r>
      <w:r>
        <w:rPr>
          <w:rFonts w:ascii="仿宋_GB2312" w:hAnsi="仿宋_GB2312" w:cs="仿宋_GB2312" w:eastAsia="仿宋_GB2312"/>
        </w:rPr>
        <w:t>数字签名系统配套设备采购项目(二次)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SCZE2024-ZB-3085-001(R)</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数字签名系统配套设备采购项目(二次)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西安市中医医院数字签名系统配套设备采购项目，详见采购需求。</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信用要求：投标人在递交投标文件截止时间前被“信用中国”网站（www.creditchina.gov.cn）和中国政府采购网（www.ccgp.gov.cn）上被列入失信被执行人、重大税收违法失信主体、政府采购严重违法失信行为记录名单的，不得参加投标；</w:t>
      </w:r>
    </w:p>
    <w:p>
      <w:pPr>
        <w:pStyle w:val="null3"/>
      </w:pPr>
      <w:r>
        <w:rPr>
          <w:rFonts w:ascii="仿宋_GB2312" w:hAnsi="仿宋_GB2312" w:cs="仿宋_GB2312" w:eastAsia="仿宋_GB2312"/>
        </w:rPr>
        <w:t>2、投标人参加本项目的合法授权人授权委托书：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近三个月养老保险缴纳证明）；</w:t>
      </w:r>
    </w:p>
    <w:p>
      <w:pPr>
        <w:pStyle w:val="null3"/>
      </w:pPr>
      <w:r>
        <w:rPr>
          <w:rFonts w:ascii="仿宋_GB2312" w:hAnsi="仿宋_GB2312" w:cs="仿宋_GB2312" w:eastAsia="仿宋_GB2312"/>
        </w:rPr>
        <w:t>3、供应商不得存在下列情形之一：（1）单位负责人为同一人或者存在直接控股、管理关系的不同供应商，不得参加本次采购活动； （2）为本项目提供整体设计、规范编制或者项目管理、监理、检测等服务的供应商，不得再参加本项目的采购活动；</w:t>
      </w:r>
    </w:p>
    <w:p>
      <w:pPr>
        <w:pStyle w:val="null3"/>
      </w:pPr>
      <w:r>
        <w:rPr>
          <w:rFonts w:ascii="仿宋_GB2312" w:hAnsi="仿宋_GB2312" w:cs="仿宋_GB2312" w:eastAsia="仿宋_GB2312"/>
        </w:rPr>
        <w:t>4、其他要求：供应商非采购人单位职工及其亲属投资开办或控股的企业不存在利害关系及其他可能影响投标公正性的情形。</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凤城八路69号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薛老师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029-89626819</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陕西省采购招标有限责任公司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西安市高新区锦业路1号都市之门C座9层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吴昊、李江西、马超</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029-88499829</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采购包1：900,000.00元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移动端患者签名手写板（核心产品）</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移动端患者签名手写板（核心产品）</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代理服务费收费标准：本项目收取代理服务费 代理服务费用收取对象：中标/成交供应商 代理服务费收费标准： （1）招标代理服务费由中标单位在领取中标通知书前向招标代理机构支付。 （2）招标代理服务费收取标准依据《国家计委关于印发&lt;招标代理服务收费管理暂行办法&gt;的通知》（计价格[2002]1980号）、《国家发展和改革委员会办公厅关于招标代理服务收费有关问题的通知》（发改办价格[2003]857号）文件的规定下浮20%计取。 招标代理服务费可以现金或转账方式缴纳： 名 称：陕西省采购招标有限责任公司 开户银行：中国光大银行西安友谊路支行 账 号：78560188000095264</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西安市中医医院</w:t>
      </w:r>
      <w:r>
        <w:rPr>
          <w:rFonts w:ascii="仿宋_GB2312" w:hAnsi="仿宋_GB2312" w:cs="仿宋_GB2312" w:eastAsia="仿宋_GB2312"/>
        </w:rPr>
        <w:t>和</w:t>
      </w:r>
      <w:r>
        <w:rPr>
          <w:rFonts w:ascii="仿宋_GB2312" w:hAnsi="仿宋_GB2312" w:cs="仿宋_GB2312" w:eastAsia="仿宋_GB2312"/>
        </w:rPr>
        <w:t>陕西省采购招标有限责任公司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陕西省采购招标有限责任公司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陕西省采购招标有限责任公司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陕西省采购招标有限责任公司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联系人：综合办公室</w:t>
      </w:r>
    </w:p>
    <w:p>
      <w:pPr>
        <w:pStyle w:val="null3"/>
      </w:pPr>
      <w:r>
        <w:rPr>
          <w:rFonts w:ascii="仿宋_GB2312" w:hAnsi="仿宋_GB2312" w:cs="仿宋_GB2312" w:eastAsia="仿宋_GB2312"/>
        </w:rPr>
        <w:t>联系电话：029-85235014</w:t>
      </w:r>
    </w:p>
    <w:p>
      <w:pPr>
        <w:pStyle w:val="null3"/>
      </w:pPr>
      <w:r>
        <w:rPr>
          <w:rFonts w:ascii="仿宋_GB2312" w:hAnsi="仿宋_GB2312" w:cs="仿宋_GB2312" w:eastAsia="仿宋_GB2312"/>
        </w:rPr>
        <w:t>地址：西安市高新区锦业路1号都市之门C座9层</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西安市中医医院数字签名系统配套设备采购项目，详见采购需求。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900,000.00</w:t>
      </w:r>
    </w:p>
    <w:p>
      <w:pPr>
        <w:pStyle w:val="null3"/>
      </w:pPr>
      <w:r>
        <w:rPr>
          <w:rFonts w:ascii="仿宋_GB2312" w:hAnsi="仿宋_GB2312" w:cs="仿宋_GB2312" w:eastAsia="仿宋_GB2312"/>
        </w:rPr>
        <w:t>采购包最高限价（元）: 900,000.00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数字签名系统配套设备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900,000.00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p>
      <w:pPr>
        <w:pStyle w:val="null3"/>
      </w:pPr>
      <w:r>
        <w:rPr>
          <w:rFonts w:ascii="仿宋_GB2312" w:hAnsi="仿宋_GB2312" w:cs="仿宋_GB2312" w:eastAsia="仿宋_GB2312"/>
        </w:rPr>
        <w:t>标的名称：数字签名系统配套设备</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rFonts w:ascii="仿宋_GB2312" w:hAnsi="仿宋_GB2312" w:cs="仿宋_GB2312" w:eastAsia="仿宋_GB2312"/>
              </w:rPr>
              <w:t xml:space="preserve"> 参数性质</w:t>
            </w:r>
          </w:p>
        </w:tc>
        <w:tc>
          <w:tcPr>
            <w:tcW w:type="dxa" w:w="2076"/>
          </w:tcPr>
          <w:p>
            <w:pPr>
              <w:pStyle w:val="null3"/>
            </w:pPr>
            <w:r>
              <w:rPr>
                <w:rFonts w:ascii="仿宋_GB2312" w:hAnsi="仿宋_GB2312" w:cs="仿宋_GB2312" w:eastAsia="仿宋_GB2312"/>
              </w:rPr>
              <w:t xml:space="preserve"> 序号</w:t>
            </w:r>
          </w:p>
        </w:tc>
        <w:tc>
          <w:tcPr>
            <w:tcW w:type="dxa" w:w="2076"/>
          </w:tcPr>
          <w:p>
            <w:pPr>
              <w:pStyle w:val="null3"/>
            </w:pPr>
            <w:r>
              <w:rPr>
                <w:rFonts w:ascii="仿宋_GB2312" w:hAnsi="仿宋_GB2312" w:cs="仿宋_GB2312" w:eastAsia="仿宋_GB2312"/>
              </w:rPr>
              <w:t xml:space="preserve"> 技术要求名称</w:t>
            </w:r>
          </w:p>
        </w:tc>
        <w:tc>
          <w:tcPr>
            <w:tcW w:type="dxa" w:w="2076"/>
          </w:tcPr>
          <w:p>
            <w:pPr>
              <w:pStyle w:val="null3"/>
            </w:pPr>
            <w:r>
              <w:rPr>
                <w:rFonts w:ascii="仿宋_GB2312" w:hAnsi="仿宋_GB2312" w:cs="仿宋_GB2312" w:eastAsia="仿宋_GB2312"/>
              </w:rPr>
              <w:t xml:space="preserve"> 技术参数与性能指标</w:t>
            </w:r>
          </w:p>
        </w:tc>
      </w:tr>
      <w:tr>
        <w:tc>
          <w:tcPr>
            <w:tcW w:type="dxa" w:w="2076"/>
          </w:tcPr>
          <w:p/>
        </w:tc>
        <w:tc>
          <w:tcPr>
            <w:tcW w:type="dxa" w:w="2076"/>
          </w:tcPr>
          <w:p>
            <w:pPr>
              <w:pStyle w:val="null3"/>
            </w:pPr>
            <w:r>
              <w:rPr>
                <w:rFonts w:ascii="仿宋_GB2312" w:hAnsi="仿宋_GB2312" w:cs="仿宋_GB2312" w:eastAsia="仿宋_GB2312"/>
              </w:rPr>
              <w:t>1</w:t>
            </w:r>
          </w:p>
        </w:tc>
        <w:tc>
          <w:tcPr>
            <w:tcW w:type="dxa" w:w="2076"/>
          </w:tcPr>
          <w:p>
            <w:pPr>
              <w:pStyle w:val="null3"/>
            </w:pPr>
            <w:r>
              <w:rPr>
                <w:rFonts w:ascii="仿宋_GB2312" w:hAnsi="仿宋_GB2312" w:cs="仿宋_GB2312" w:eastAsia="仿宋_GB2312"/>
              </w:rPr>
              <w:t>采购内容</w:t>
            </w:r>
          </w:p>
        </w:tc>
        <w:tc>
          <w:tcPr>
            <w:tcW w:type="dxa" w:w="2076"/>
          </w:tcPr>
          <w:tbl>
            <w:tblPr>
              <w:tblBorders>
                <w:top w:val="none" w:color="000000" w:sz="4"/>
                <w:left w:val="none" w:color="000000" w:sz="4"/>
                <w:bottom w:val="none" w:color="000000" w:sz="4"/>
                <w:right w:val="none" w:color="000000" w:sz="4"/>
                <w:insideH w:val="none"/>
                <w:insideV w:val="none"/>
              </w:tblBorders>
            </w:tblPr>
            <w:tblGrid>
              <w:gridCol w:w="122"/>
              <w:gridCol w:w="768"/>
              <w:gridCol w:w="192"/>
              <w:gridCol w:w="262"/>
              <w:gridCol w:w="367"/>
            </w:tblGrid>
            <w:tr>
              <w:tc>
                <w:tcPr>
                  <w:tcW w:type="dxa" w:w="122"/>
                  <w:tcBorders>
                    <w:top w:val="singl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序号</w:t>
                  </w:r>
                </w:p>
              </w:tc>
              <w:tc>
                <w:tcPr>
                  <w:tcW w:type="dxa" w:w="768"/>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产品名称</w:t>
                  </w:r>
                </w:p>
              </w:tc>
              <w:tc>
                <w:tcPr>
                  <w:tcW w:type="dxa" w:w="19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单位</w:t>
                  </w:r>
                </w:p>
              </w:tc>
              <w:tc>
                <w:tcPr>
                  <w:tcW w:type="dxa" w:w="262"/>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产品形态</w:t>
                  </w:r>
                </w:p>
              </w:tc>
              <w:tc>
                <w:tcPr>
                  <w:tcW w:type="dxa" w:w="367"/>
                  <w:tcBorders>
                    <w:top w:val="single" w:color="000000" w:sz="4"/>
                    <w:left w:val="non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最高限价</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1</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签名验签服务器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软硬一体机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8</w:t>
                  </w:r>
                  <w:r>
                    <w:rPr>
                      <w:rFonts w:ascii="仿宋_GB2312" w:hAnsi="仿宋_GB2312" w:cs="仿宋_GB2312" w:eastAsia="仿宋_GB2312"/>
                      <w:sz w:val="20"/>
                    </w:rPr>
                    <w:t>万元/台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2</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时间戳服务器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软硬一体机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万元/台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3</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证书管理服务器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软硬一体机</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9</w:t>
                  </w:r>
                  <w:r>
                    <w:rPr>
                      <w:rFonts w:ascii="仿宋_GB2312" w:hAnsi="仿宋_GB2312" w:cs="仿宋_GB2312" w:eastAsia="仿宋_GB2312"/>
                      <w:sz w:val="20"/>
                    </w:rPr>
                    <w:t>万元/台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4</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设备数字证书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张</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数字证书</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3000</w:t>
                  </w:r>
                  <w:r>
                    <w:rPr>
                      <w:rFonts w:ascii="仿宋_GB2312" w:hAnsi="仿宋_GB2312" w:cs="仿宋_GB2312" w:eastAsia="仿宋_GB2312"/>
                      <w:sz w:val="20"/>
                    </w:rPr>
                    <w:t>元/张</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5</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个人数字证书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张</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数字证书</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65</w:t>
                  </w:r>
                  <w:r>
                    <w:rPr>
                      <w:rFonts w:ascii="仿宋_GB2312" w:hAnsi="仿宋_GB2312" w:cs="仿宋_GB2312" w:eastAsia="仿宋_GB2312"/>
                      <w:sz w:val="20"/>
                    </w:rPr>
                    <w:t>元/张</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6</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USBKey</w:t>
                  </w:r>
                  <w:r>
                    <w:rPr>
                      <w:rFonts w:ascii="仿宋_GB2312" w:hAnsi="仿宋_GB2312" w:cs="仿宋_GB2312" w:eastAsia="仿宋_GB2312"/>
                      <w:sz w:val="20"/>
                    </w:rPr>
                    <w:t>证书存储介质</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个</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证书介质</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left"/>
                  </w:pPr>
                  <w:r>
                    <w:rPr>
                      <w:rFonts w:ascii="仿宋_GB2312" w:hAnsi="仿宋_GB2312" w:cs="仿宋_GB2312" w:eastAsia="仿宋_GB2312"/>
                      <w:sz w:val="20"/>
                    </w:rPr>
                    <w:t>65</w:t>
                  </w:r>
                  <w:r>
                    <w:rPr>
                      <w:rFonts w:ascii="仿宋_GB2312" w:hAnsi="仿宋_GB2312" w:cs="仿宋_GB2312" w:eastAsia="仿宋_GB2312"/>
                      <w:sz w:val="20"/>
                    </w:rPr>
                    <w:t>元/张</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7</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患者签名手写板（带手写笔且内含证书）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终端设备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3500</w:t>
                  </w:r>
                  <w:r>
                    <w:rPr>
                      <w:rFonts w:ascii="仿宋_GB2312" w:hAnsi="仿宋_GB2312" w:cs="仿宋_GB2312" w:eastAsia="仿宋_GB2312"/>
                      <w:sz w:val="20"/>
                    </w:rPr>
                    <w:t>元/台</w:t>
                  </w:r>
                </w:p>
              </w:tc>
            </w:tr>
            <w:tr>
              <w:tc>
                <w:tcPr>
                  <w:tcW w:type="dxa" w:w="122"/>
                  <w:tcBorders>
                    <w:top w:val="none" w:color="000000" w:sz="4"/>
                    <w:left w:val="single" w:color="000000" w:sz="4"/>
                    <w:bottom w:val="single" w:color="000000" w:sz="4"/>
                    <w:right w:val="single" w:color="000000" w:sz="4"/>
                  </w:tcBorders>
                  <w:tcMar>
                    <w:top w:type="dxa" w:w="0"/>
                    <w:left w:type="dxa" w:w="105"/>
                    <w:bottom w:type="dxa" w:w="0"/>
                    <w:right w:type="dxa" w:w="105"/>
                  </w:tcMar>
                </w:tcPr>
                <w:p>
                  <w:pPr>
                    <w:pStyle w:val="null3"/>
                    <w:jc w:val="center"/>
                  </w:pPr>
                  <w:r>
                    <w:rPr>
                      <w:rFonts w:ascii="仿宋_GB2312" w:hAnsi="仿宋_GB2312" w:cs="仿宋_GB2312" w:eastAsia="仿宋_GB2312"/>
                      <w:sz w:val="20"/>
                    </w:rPr>
                    <w:t>8</w:t>
                  </w:r>
                </w:p>
              </w:tc>
              <w:tc>
                <w:tcPr>
                  <w:tcW w:type="dxa" w:w="768"/>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移动端患者签名手写板（内含证书）</w:t>
                  </w:r>
                </w:p>
              </w:tc>
              <w:tc>
                <w:tcPr>
                  <w:tcW w:type="dxa" w:w="19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ind w:firstLine="200"/>
                    <w:jc w:val="both"/>
                  </w:pPr>
                  <w:r>
                    <w:rPr>
                      <w:rFonts w:ascii="仿宋_GB2312" w:hAnsi="仿宋_GB2312" w:cs="仿宋_GB2312" w:eastAsia="仿宋_GB2312"/>
                      <w:sz w:val="20"/>
                    </w:rPr>
                    <w:t>台</w:t>
                  </w:r>
                </w:p>
              </w:tc>
              <w:tc>
                <w:tcPr>
                  <w:tcW w:type="dxa" w:w="262"/>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终端设备</w:t>
                  </w:r>
                </w:p>
              </w:tc>
              <w:tc>
                <w:tcPr>
                  <w:tcW w:type="dxa" w:w="367"/>
                  <w:tcBorders>
                    <w:top w:val="none" w:color="000000" w:sz="4"/>
                    <w:left w:val="none" w:color="000000" w:sz="4"/>
                    <w:bottom w:val="single" w:color="000000" w:sz="4"/>
                    <w:right w:val="single" w:color="000000" w:sz="4"/>
                  </w:tcBorders>
                  <w:tcMar>
                    <w:top w:type="dxa" w:w="0"/>
                    <w:left w:type="dxa" w:w="105"/>
                    <w:bottom w:type="dxa" w:w="0"/>
                    <w:right w:type="dxa" w:w="105"/>
                  </w:tcMar>
                </w:tcPr>
                <w:p>
                  <w:pPr>
                    <w:pStyle w:val="null3"/>
                    <w:jc w:val="both"/>
                  </w:pPr>
                  <w:r>
                    <w:rPr>
                      <w:rFonts w:ascii="仿宋_GB2312" w:hAnsi="仿宋_GB2312" w:cs="仿宋_GB2312" w:eastAsia="仿宋_GB2312"/>
                      <w:sz w:val="20"/>
                    </w:rPr>
                    <w:t>6000</w:t>
                  </w:r>
                  <w:r>
                    <w:rPr>
                      <w:rFonts w:ascii="仿宋_GB2312" w:hAnsi="仿宋_GB2312" w:cs="仿宋_GB2312" w:eastAsia="仿宋_GB2312"/>
                      <w:sz w:val="20"/>
                    </w:rPr>
                    <w:t>元/台</w:t>
                  </w:r>
                </w:p>
              </w:tc>
            </w:tr>
          </w:tbl>
          <w:p/>
        </w:tc>
      </w:tr>
      <w:tr>
        <w:tc>
          <w:tcPr>
            <w:tcW w:type="dxa" w:w="2076"/>
          </w:tcPr>
          <w:p/>
        </w:tc>
        <w:tc>
          <w:tcPr>
            <w:tcW w:type="dxa" w:w="2076"/>
          </w:tcPr>
          <w:p>
            <w:pPr>
              <w:pStyle w:val="null3"/>
            </w:pPr>
            <w:r>
              <w:rPr>
                <w:rFonts w:ascii="仿宋_GB2312" w:hAnsi="仿宋_GB2312" w:cs="仿宋_GB2312" w:eastAsia="仿宋_GB2312"/>
              </w:rPr>
              <w:t>2</w:t>
            </w:r>
          </w:p>
        </w:tc>
        <w:tc>
          <w:tcPr>
            <w:tcW w:type="dxa" w:w="2076"/>
          </w:tcPr>
          <w:p>
            <w:pPr>
              <w:pStyle w:val="null3"/>
            </w:pPr>
            <w:r>
              <w:rPr>
                <w:rFonts w:ascii="仿宋_GB2312" w:hAnsi="仿宋_GB2312" w:cs="仿宋_GB2312" w:eastAsia="仿宋_GB2312"/>
              </w:rPr>
              <w:t>签名验签服务器</w:t>
            </w:r>
          </w:p>
        </w:tc>
        <w:tc>
          <w:tcPr>
            <w:tcW w:type="dxa" w:w="2076"/>
          </w:tcPr>
          <w:p>
            <w:pPr>
              <w:pStyle w:val="null3"/>
              <w:jc w:val="both"/>
            </w:pPr>
            <w:r>
              <w:rPr>
                <w:rFonts w:ascii="仿宋_GB2312" w:hAnsi="仿宋_GB2312" w:cs="仿宋_GB2312" w:eastAsia="仿宋_GB2312"/>
                <w:sz w:val="21"/>
              </w:rPr>
              <w:t>1.提供软硬一体机设备；</w:t>
            </w:r>
          </w:p>
          <w:p>
            <w:pPr>
              <w:pStyle w:val="null3"/>
              <w:jc w:val="both"/>
            </w:pPr>
            <w:r>
              <w:rPr>
                <w:rFonts w:ascii="仿宋_GB2312" w:hAnsi="仿宋_GB2312" w:cs="仿宋_GB2312" w:eastAsia="仿宋_GB2312"/>
                <w:sz w:val="21"/>
              </w:rPr>
              <w:t>2.设备高度≥2U；</w:t>
            </w:r>
          </w:p>
          <w:p>
            <w:pPr>
              <w:pStyle w:val="null3"/>
              <w:jc w:val="both"/>
            </w:pPr>
            <w:r>
              <w:rPr>
                <w:rFonts w:ascii="仿宋_GB2312" w:hAnsi="仿宋_GB2312" w:cs="仿宋_GB2312" w:eastAsia="仿宋_GB2312"/>
                <w:sz w:val="21"/>
              </w:rPr>
              <w:t>3.网络接口≥2个千兆网口；</w:t>
            </w:r>
          </w:p>
          <w:p>
            <w:pPr>
              <w:pStyle w:val="null3"/>
              <w:jc w:val="both"/>
            </w:pPr>
            <w:r>
              <w:rPr>
                <w:rFonts w:ascii="仿宋_GB2312" w:hAnsi="仿宋_GB2312" w:cs="仿宋_GB2312" w:eastAsia="仿宋_GB2312"/>
                <w:sz w:val="21"/>
              </w:rPr>
              <w:t>4.电源指标：双电源；</w:t>
            </w:r>
          </w:p>
          <w:p>
            <w:pPr>
              <w:pStyle w:val="null3"/>
              <w:jc w:val="both"/>
            </w:pPr>
            <w:r>
              <w:rPr>
                <w:rFonts w:ascii="仿宋_GB2312" w:hAnsi="仿宋_GB2312" w:cs="仿宋_GB2312" w:eastAsia="仿宋_GB2312"/>
                <w:sz w:val="21"/>
              </w:rPr>
              <w:t>5.信任源管理：可同时配置多条证书链，验证不同机构CA的用户证书；</w:t>
            </w:r>
          </w:p>
          <w:p>
            <w:pPr>
              <w:pStyle w:val="null3"/>
              <w:jc w:val="both"/>
            </w:pPr>
            <w:r>
              <w:rPr>
                <w:rFonts w:ascii="仿宋_GB2312" w:hAnsi="仿宋_GB2312" w:cs="仿宋_GB2312" w:eastAsia="仿宋_GB2312"/>
                <w:sz w:val="21"/>
              </w:rPr>
              <w:t xml:space="preserve">6.支持SM1、SM2、SM3、RSA、SHA256等算法；     </w:t>
            </w:r>
          </w:p>
          <w:p>
            <w:pPr>
              <w:pStyle w:val="null3"/>
              <w:jc w:val="both"/>
            </w:pPr>
            <w:r>
              <w:rPr>
                <w:rFonts w:ascii="仿宋_GB2312" w:hAnsi="仿宋_GB2312" w:cs="仿宋_GB2312" w:eastAsia="仿宋_GB2312"/>
                <w:sz w:val="21"/>
              </w:rPr>
              <w:t>7.实现基于数字证书的身份认证，支持不同机构CA的证书验证，提供CRL/OCSP等多种方式的证书有效性验证；</w:t>
            </w:r>
          </w:p>
          <w:p>
            <w:pPr>
              <w:pStyle w:val="null3"/>
              <w:jc w:val="both"/>
            </w:pPr>
            <w:r>
              <w:rPr>
                <w:rFonts w:ascii="仿宋_GB2312" w:hAnsi="仿宋_GB2312" w:cs="仿宋_GB2312" w:eastAsia="仿宋_GB2312"/>
                <w:sz w:val="21"/>
              </w:rPr>
              <w:t>8.提供医院相关应用系统访问策略配置，包括所使用服务器证书、所使用根证书链、验证CRL策略等配置；</w:t>
            </w:r>
          </w:p>
          <w:p>
            <w:pPr>
              <w:pStyle w:val="null3"/>
              <w:jc w:val="both"/>
            </w:pPr>
            <w:r>
              <w:rPr>
                <w:rFonts w:ascii="仿宋_GB2312" w:hAnsi="仿宋_GB2312" w:cs="仿宋_GB2312" w:eastAsia="仿宋_GB2312"/>
                <w:sz w:val="21"/>
              </w:rPr>
              <w:t>9.实现对客户端证书的存储，管理员可以通过页面进行证书导入和查找，医院相关业务系统可以通过接口获取已存储的证书；</w:t>
            </w:r>
          </w:p>
          <w:p>
            <w:pPr>
              <w:pStyle w:val="null3"/>
              <w:jc w:val="both"/>
            </w:pPr>
            <w:r>
              <w:rPr>
                <w:rFonts w:ascii="仿宋_GB2312" w:hAnsi="仿宋_GB2312" w:cs="仿宋_GB2312" w:eastAsia="仿宋_GB2312"/>
                <w:sz w:val="21"/>
              </w:rPr>
              <w:t>10.▲自动更新黑名单，采用动态更新方式，无需重启服务；</w:t>
            </w:r>
          </w:p>
          <w:p>
            <w:pPr>
              <w:pStyle w:val="null3"/>
              <w:jc w:val="both"/>
            </w:pPr>
            <w:r>
              <w:rPr>
                <w:rFonts w:ascii="仿宋_GB2312" w:hAnsi="仿宋_GB2312" w:cs="仿宋_GB2312" w:eastAsia="仿宋_GB2312"/>
                <w:sz w:val="21"/>
              </w:rPr>
              <w:t>11.▲可开关时间源同步状态，配置时间源服务器地址，保证签名验签服务器时间的准确性，另外支持手工设定服务器时间；</w:t>
            </w:r>
          </w:p>
          <w:p>
            <w:pPr>
              <w:pStyle w:val="null3"/>
              <w:jc w:val="both"/>
            </w:pPr>
            <w:r>
              <w:rPr>
                <w:rFonts w:ascii="仿宋_GB2312" w:hAnsi="仿宋_GB2312" w:cs="仿宋_GB2312" w:eastAsia="仿宋_GB2312"/>
                <w:sz w:val="21"/>
              </w:rPr>
              <w:t>12.支持提供备份恢复功能，可通过界面备份当前所有配置，保证系统瘫痪时的快速恢复；</w:t>
            </w:r>
          </w:p>
          <w:p>
            <w:pPr>
              <w:pStyle w:val="null3"/>
              <w:jc w:val="both"/>
            </w:pPr>
            <w:r>
              <w:rPr>
                <w:rFonts w:ascii="仿宋_GB2312" w:hAnsi="仿宋_GB2312" w:cs="仿宋_GB2312" w:eastAsia="仿宋_GB2312"/>
                <w:sz w:val="21"/>
              </w:rPr>
              <w:t>13.提供日志记录，可将日志以syslog的方式发送到指定服务器；</w:t>
            </w:r>
          </w:p>
          <w:p>
            <w:pPr>
              <w:pStyle w:val="null3"/>
              <w:jc w:val="both"/>
            </w:pPr>
            <w:r>
              <w:rPr>
                <w:rFonts w:ascii="仿宋_GB2312" w:hAnsi="仿宋_GB2312" w:cs="仿宋_GB2312" w:eastAsia="仿宋_GB2312"/>
                <w:sz w:val="21"/>
              </w:rPr>
              <w:t>14.签名能力：≥1500次/秒，签名验证：≥4000次/秒。；</w:t>
            </w:r>
          </w:p>
          <w:p>
            <w:pPr>
              <w:pStyle w:val="null3"/>
              <w:jc w:val="both"/>
            </w:pPr>
            <w:r>
              <w:rPr>
                <w:rFonts w:ascii="仿宋_GB2312" w:hAnsi="仿宋_GB2312" w:cs="仿宋_GB2312" w:eastAsia="仿宋_GB2312"/>
                <w:sz w:val="21"/>
              </w:rPr>
              <w:t>15.提供C、C#、Java 等主流开发API；</w:t>
            </w:r>
          </w:p>
          <w:p>
            <w:pPr>
              <w:pStyle w:val="null3"/>
              <w:jc w:val="both"/>
            </w:pPr>
            <w:r>
              <w:rPr>
                <w:rFonts w:ascii="仿宋_GB2312" w:hAnsi="仿宋_GB2312" w:cs="仿宋_GB2312" w:eastAsia="仿宋_GB2312"/>
                <w:sz w:val="21"/>
              </w:rPr>
              <w:t>16.支持Windows Server；Linux；Unix等应用平台；</w:t>
            </w:r>
          </w:p>
          <w:p>
            <w:pPr>
              <w:pStyle w:val="null3"/>
              <w:jc w:val="both"/>
            </w:pPr>
            <w:r>
              <w:rPr>
                <w:rFonts w:ascii="仿宋_GB2312" w:hAnsi="仿宋_GB2312" w:cs="仿宋_GB2312" w:eastAsia="仿宋_GB2312"/>
                <w:sz w:val="21"/>
              </w:rPr>
              <w:t>17.符合医保标准规范和国密算法；</w:t>
            </w:r>
          </w:p>
          <w:p>
            <w:pPr>
              <w:pStyle w:val="null3"/>
              <w:jc w:val="both"/>
            </w:pPr>
            <w:r>
              <w:rPr>
                <w:rFonts w:ascii="仿宋_GB2312" w:hAnsi="仿宋_GB2312" w:cs="仿宋_GB2312" w:eastAsia="仿宋_GB2312"/>
                <w:sz w:val="21"/>
              </w:rPr>
              <w:t>18.▲兼容我院现有CA电子签名系统；</w:t>
            </w:r>
          </w:p>
          <w:p>
            <w:pPr>
              <w:pStyle w:val="null3"/>
              <w:jc w:val="both"/>
            </w:pPr>
            <w:r>
              <w:rPr>
                <w:rFonts w:ascii="仿宋_GB2312" w:hAnsi="仿宋_GB2312" w:cs="仿宋_GB2312" w:eastAsia="仿宋_GB2312"/>
                <w:sz w:val="21"/>
              </w:rPr>
              <w:t>19.▲须与医院现有签名验签服务器实现双机热备、负载均衡。</w:t>
            </w:r>
          </w:p>
        </w:tc>
      </w:tr>
      <w:tr>
        <w:tc>
          <w:tcPr>
            <w:tcW w:type="dxa" w:w="2076"/>
          </w:tcPr>
          <w:p/>
        </w:tc>
        <w:tc>
          <w:tcPr>
            <w:tcW w:type="dxa" w:w="2076"/>
          </w:tcPr>
          <w:p>
            <w:pPr>
              <w:pStyle w:val="null3"/>
            </w:pPr>
            <w:r>
              <w:rPr>
                <w:rFonts w:ascii="仿宋_GB2312" w:hAnsi="仿宋_GB2312" w:cs="仿宋_GB2312" w:eastAsia="仿宋_GB2312"/>
              </w:rPr>
              <w:t>3</w:t>
            </w:r>
          </w:p>
        </w:tc>
        <w:tc>
          <w:tcPr>
            <w:tcW w:type="dxa" w:w="2076"/>
          </w:tcPr>
          <w:p>
            <w:pPr>
              <w:pStyle w:val="null3"/>
            </w:pPr>
            <w:r>
              <w:rPr>
                <w:rFonts w:ascii="仿宋_GB2312" w:hAnsi="仿宋_GB2312" w:cs="仿宋_GB2312" w:eastAsia="仿宋_GB2312"/>
              </w:rPr>
              <w:t>时间戳服务器</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签发可信时间戳、验证时间戳有效性；</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内置国家授时中心时间源，权威可靠；</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支持算法：</w:t>
            </w:r>
            <w:r>
              <w:rPr>
                <w:rFonts w:ascii="仿宋_GB2312" w:hAnsi="仿宋_GB2312" w:cs="仿宋_GB2312" w:eastAsia="仿宋_GB2312"/>
                <w:sz w:val="21"/>
              </w:rPr>
              <w:t>RSA</w:t>
            </w:r>
            <w:r>
              <w:rPr>
                <w:rFonts w:ascii="仿宋_GB2312" w:hAnsi="仿宋_GB2312" w:cs="仿宋_GB2312" w:eastAsia="仿宋_GB2312"/>
                <w:sz w:val="21"/>
              </w:rPr>
              <w:t>、</w:t>
            </w:r>
            <w:r>
              <w:rPr>
                <w:rFonts w:ascii="仿宋_GB2312" w:hAnsi="仿宋_GB2312" w:cs="仿宋_GB2312" w:eastAsia="仿宋_GB2312"/>
                <w:sz w:val="21"/>
              </w:rPr>
              <w:t>SHA1</w:t>
            </w:r>
            <w:r>
              <w:rPr>
                <w:rFonts w:ascii="仿宋_GB2312" w:hAnsi="仿宋_GB2312" w:cs="仿宋_GB2312" w:eastAsia="仿宋_GB2312"/>
                <w:sz w:val="21"/>
              </w:rPr>
              <w:t>、</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SM3</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 xml:space="preserve">4. </w:t>
            </w:r>
            <w:r>
              <w:rPr>
                <w:rFonts w:ascii="仿宋_GB2312" w:hAnsi="仿宋_GB2312" w:cs="仿宋_GB2312" w:eastAsia="仿宋_GB2312"/>
                <w:sz w:val="21"/>
              </w:rPr>
              <w:t>系统管理：时间戳证书管理、时间源管理、服务管理、日志管理、网络配置、系统配置、备份与恢复等，可配置</w:t>
            </w:r>
            <w:r>
              <w:rPr>
                <w:rFonts w:ascii="仿宋_GB2312" w:hAnsi="仿宋_GB2312" w:cs="仿宋_GB2312" w:eastAsia="仿宋_GB2312"/>
                <w:sz w:val="21"/>
              </w:rPr>
              <w:t>IP</w:t>
            </w:r>
            <w:r>
              <w:rPr>
                <w:rFonts w:ascii="仿宋_GB2312" w:hAnsi="仿宋_GB2312" w:cs="仿宋_GB2312" w:eastAsia="仿宋_GB2312"/>
                <w:sz w:val="21"/>
              </w:rPr>
              <w:t>、网关、端口、连接数、超时时间；</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可以让某个</w:t>
            </w:r>
            <w:r>
              <w:rPr>
                <w:rFonts w:ascii="仿宋_GB2312" w:hAnsi="仿宋_GB2312" w:cs="仿宋_GB2312" w:eastAsia="仿宋_GB2312"/>
                <w:sz w:val="21"/>
              </w:rPr>
              <w:t>IP</w:t>
            </w:r>
            <w:r>
              <w:rPr>
                <w:rFonts w:ascii="仿宋_GB2312" w:hAnsi="仿宋_GB2312" w:cs="仿宋_GB2312" w:eastAsia="仿宋_GB2312"/>
                <w:sz w:val="21"/>
              </w:rPr>
              <w:t>或者</w:t>
            </w:r>
            <w:r>
              <w:rPr>
                <w:rFonts w:ascii="仿宋_GB2312" w:hAnsi="仿宋_GB2312" w:cs="仿宋_GB2312" w:eastAsia="仿宋_GB2312"/>
                <w:sz w:val="21"/>
              </w:rPr>
              <w:t>IP</w:t>
            </w:r>
            <w:r>
              <w:rPr>
                <w:rFonts w:ascii="仿宋_GB2312" w:hAnsi="仿宋_GB2312" w:cs="仿宋_GB2312" w:eastAsia="仿宋_GB2312"/>
                <w:sz w:val="21"/>
              </w:rPr>
              <w:t>段访问服务，而不在白名单内的</w:t>
            </w:r>
            <w:r>
              <w:rPr>
                <w:rFonts w:ascii="仿宋_GB2312" w:hAnsi="仿宋_GB2312" w:cs="仿宋_GB2312" w:eastAsia="仿宋_GB2312"/>
                <w:sz w:val="21"/>
              </w:rPr>
              <w:t>IP</w:t>
            </w:r>
            <w:r>
              <w:rPr>
                <w:rFonts w:ascii="仿宋_GB2312" w:hAnsi="仿宋_GB2312" w:cs="仿宋_GB2312" w:eastAsia="仿宋_GB2312"/>
                <w:sz w:val="21"/>
              </w:rPr>
              <w:t>或者</w:t>
            </w:r>
            <w:r>
              <w:rPr>
                <w:rFonts w:ascii="仿宋_GB2312" w:hAnsi="仿宋_GB2312" w:cs="仿宋_GB2312" w:eastAsia="仿宋_GB2312"/>
                <w:sz w:val="21"/>
              </w:rPr>
              <w:t>IP</w:t>
            </w:r>
            <w:r>
              <w:rPr>
                <w:rFonts w:ascii="仿宋_GB2312" w:hAnsi="仿宋_GB2312" w:cs="仿宋_GB2312" w:eastAsia="仿宋_GB2312"/>
                <w:sz w:val="21"/>
              </w:rPr>
              <w:t>段不能访问服务器的服务；</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支持服务状态查看，包括日期、</w:t>
            </w:r>
            <w:r>
              <w:rPr>
                <w:rFonts w:ascii="仿宋_GB2312" w:hAnsi="仿宋_GB2312" w:cs="仿宋_GB2312" w:eastAsia="仿宋_GB2312"/>
                <w:sz w:val="21"/>
              </w:rPr>
              <w:t>CPU</w:t>
            </w:r>
            <w:r>
              <w:rPr>
                <w:rFonts w:ascii="仿宋_GB2312" w:hAnsi="仿宋_GB2312" w:cs="仿宋_GB2312" w:eastAsia="仿宋_GB2312"/>
                <w:sz w:val="21"/>
              </w:rPr>
              <w:t>占用情况、内存占用、磁盘占用、服务状态的开启、时间源链接状态等，提供服务接口的一键检测功能；</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时间同步： 支持</w:t>
            </w:r>
            <w:r>
              <w:rPr>
                <w:rFonts w:ascii="仿宋_GB2312" w:hAnsi="仿宋_GB2312" w:cs="仿宋_GB2312" w:eastAsia="仿宋_GB2312"/>
                <w:sz w:val="21"/>
              </w:rPr>
              <w:t>NTP</w:t>
            </w:r>
            <w:r>
              <w:rPr>
                <w:rFonts w:ascii="仿宋_GB2312" w:hAnsi="仿宋_GB2312" w:cs="仿宋_GB2312" w:eastAsia="仿宋_GB2312"/>
                <w:sz w:val="21"/>
              </w:rPr>
              <w:t>、</w:t>
            </w:r>
            <w:r>
              <w:rPr>
                <w:rFonts w:ascii="仿宋_GB2312" w:hAnsi="仿宋_GB2312" w:cs="仿宋_GB2312" w:eastAsia="仿宋_GB2312"/>
                <w:sz w:val="21"/>
              </w:rPr>
              <w:t>SNTP</w:t>
            </w:r>
            <w:r>
              <w:rPr>
                <w:rFonts w:ascii="仿宋_GB2312" w:hAnsi="仿宋_GB2312" w:cs="仿宋_GB2312" w:eastAsia="仿宋_GB2312"/>
                <w:sz w:val="21"/>
              </w:rPr>
              <w:t>时间同步协议；</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授时精度：</w:t>
            </w:r>
            <w:r>
              <w:rPr>
                <w:rFonts w:ascii="仿宋_GB2312" w:hAnsi="仿宋_GB2312" w:cs="仿宋_GB2312" w:eastAsia="仿宋_GB2312"/>
                <w:sz w:val="21"/>
              </w:rPr>
              <w:t>&lt;1ms</w:t>
            </w:r>
            <w:r>
              <w:rPr>
                <w:rFonts w:ascii="仿宋_GB2312" w:hAnsi="仿宋_GB2312" w:cs="仿宋_GB2312" w:eastAsia="仿宋_GB2312"/>
                <w:sz w:val="21"/>
              </w:rPr>
              <w:t>（</w:t>
            </w:r>
            <w:r>
              <w:rPr>
                <w:rFonts w:ascii="仿宋_GB2312" w:hAnsi="仿宋_GB2312" w:cs="仿宋_GB2312" w:eastAsia="仿宋_GB2312"/>
                <w:sz w:val="21"/>
              </w:rPr>
              <w:t>72</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时间戳签发性能≥</w:t>
            </w:r>
            <w:r>
              <w:rPr>
                <w:rFonts w:ascii="仿宋_GB2312" w:hAnsi="仿宋_GB2312" w:cs="仿宋_GB2312" w:eastAsia="仿宋_GB2312"/>
                <w:sz w:val="21"/>
              </w:rPr>
              <w:t>1000</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秒，验证性能≥</w:t>
            </w:r>
            <w:r>
              <w:rPr>
                <w:rFonts w:ascii="仿宋_GB2312" w:hAnsi="仿宋_GB2312" w:cs="仿宋_GB2312" w:eastAsia="仿宋_GB2312"/>
                <w:sz w:val="21"/>
              </w:rPr>
              <w:t>500</w:t>
            </w:r>
            <w:r>
              <w:rPr>
                <w:rFonts w:ascii="仿宋_GB2312" w:hAnsi="仿宋_GB2312" w:cs="仿宋_GB2312" w:eastAsia="仿宋_GB2312"/>
                <w:sz w:val="21"/>
              </w:rPr>
              <w:t>次</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配置冗余电源；</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提供备份恢复功能，可通过界面备份当前所有配置，保证系统瘫痪时的快速恢复；</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提供对于外部导入时间戳服务器证书的上传、查询、导出等功能；</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可测试时间戳服务器到其他网络地址的互通状态；</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提供</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C#</w:t>
            </w:r>
            <w:r>
              <w:rPr>
                <w:rFonts w:ascii="仿宋_GB2312" w:hAnsi="仿宋_GB2312" w:cs="仿宋_GB2312" w:eastAsia="仿宋_GB2312"/>
                <w:sz w:val="21"/>
              </w:rPr>
              <w:t>、</w:t>
            </w:r>
            <w:r>
              <w:rPr>
                <w:rFonts w:ascii="仿宋_GB2312" w:hAnsi="仿宋_GB2312" w:cs="仿宋_GB2312" w:eastAsia="仿宋_GB2312"/>
                <w:sz w:val="21"/>
              </w:rPr>
              <w:t xml:space="preserve">Java </w:t>
            </w:r>
            <w:r>
              <w:rPr>
                <w:rFonts w:ascii="仿宋_GB2312" w:hAnsi="仿宋_GB2312" w:cs="仿宋_GB2312" w:eastAsia="仿宋_GB2312"/>
                <w:sz w:val="21"/>
              </w:rPr>
              <w:t>等主流开发</w:t>
            </w:r>
            <w:r>
              <w:rPr>
                <w:rFonts w:ascii="仿宋_GB2312" w:hAnsi="仿宋_GB2312" w:cs="仿宋_GB2312" w:eastAsia="仿宋_GB2312"/>
                <w:sz w:val="21"/>
              </w:rPr>
              <w:t>API</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支持</w:t>
            </w:r>
            <w:r>
              <w:rPr>
                <w:rFonts w:ascii="仿宋_GB2312" w:hAnsi="仿宋_GB2312" w:cs="仿宋_GB2312" w:eastAsia="仿宋_GB2312"/>
                <w:sz w:val="21"/>
              </w:rPr>
              <w:t>Windows Server</w:t>
            </w:r>
            <w:r>
              <w:rPr>
                <w:rFonts w:ascii="仿宋_GB2312" w:hAnsi="仿宋_GB2312" w:cs="仿宋_GB2312" w:eastAsia="仿宋_GB2312"/>
                <w:sz w:val="21"/>
              </w:rPr>
              <w:t>；</w:t>
            </w:r>
            <w:r>
              <w:rPr>
                <w:rFonts w:ascii="仿宋_GB2312" w:hAnsi="仿宋_GB2312" w:cs="仿宋_GB2312" w:eastAsia="仿宋_GB2312"/>
                <w:sz w:val="21"/>
              </w:rPr>
              <w:t>Linux</w:t>
            </w:r>
            <w:r>
              <w:rPr>
                <w:rFonts w:ascii="仿宋_GB2312" w:hAnsi="仿宋_GB2312" w:cs="仿宋_GB2312" w:eastAsia="仿宋_GB2312"/>
                <w:sz w:val="21"/>
              </w:rPr>
              <w:t>；</w:t>
            </w:r>
            <w:r>
              <w:rPr>
                <w:rFonts w:ascii="仿宋_GB2312" w:hAnsi="仿宋_GB2312" w:cs="仿宋_GB2312" w:eastAsia="仿宋_GB2312"/>
                <w:sz w:val="21"/>
              </w:rPr>
              <w:t>Unix</w:t>
            </w:r>
            <w:r>
              <w:rPr>
                <w:rFonts w:ascii="仿宋_GB2312" w:hAnsi="仿宋_GB2312" w:cs="仿宋_GB2312" w:eastAsia="仿宋_GB2312"/>
                <w:sz w:val="21"/>
              </w:rPr>
              <w:t>等应用平台</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▲兼容我院现有</w:t>
            </w:r>
            <w:r>
              <w:rPr>
                <w:rFonts w:ascii="仿宋_GB2312" w:hAnsi="仿宋_GB2312" w:cs="仿宋_GB2312" w:eastAsia="仿宋_GB2312"/>
                <w:sz w:val="21"/>
              </w:rPr>
              <w:t>CA</w:t>
            </w:r>
            <w:r>
              <w:rPr>
                <w:rFonts w:ascii="仿宋_GB2312" w:hAnsi="仿宋_GB2312" w:cs="仿宋_GB2312" w:eastAsia="仿宋_GB2312"/>
                <w:sz w:val="21"/>
              </w:rPr>
              <w:t>电子签名系统；</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▲须与医院现有时间戳服务器实现双机热备、负载均衡。</w:t>
            </w:r>
          </w:p>
        </w:tc>
      </w:tr>
      <w:tr>
        <w:tc>
          <w:tcPr>
            <w:tcW w:type="dxa" w:w="2076"/>
          </w:tcPr>
          <w:p/>
        </w:tc>
        <w:tc>
          <w:tcPr>
            <w:tcW w:type="dxa" w:w="2076"/>
          </w:tcPr>
          <w:p>
            <w:pPr>
              <w:pStyle w:val="null3"/>
            </w:pPr>
            <w:r>
              <w:rPr>
                <w:rFonts w:ascii="仿宋_GB2312" w:hAnsi="仿宋_GB2312" w:cs="仿宋_GB2312" w:eastAsia="仿宋_GB2312"/>
              </w:rPr>
              <w:t>4</w:t>
            </w:r>
          </w:p>
        </w:tc>
        <w:tc>
          <w:tcPr>
            <w:tcW w:type="dxa" w:w="2076"/>
          </w:tcPr>
          <w:p>
            <w:pPr>
              <w:pStyle w:val="null3"/>
            </w:pPr>
            <w:r>
              <w:rPr>
                <w:rFonts w:ascii="仿宋_GB2312" w:hAnsi="仿宋_GB2312" w:cs="仿宋_GB2312" w:eastAsia="仿宋_GB2312"/>
              </w:rPr>
              <w:t>证书管理服务器</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提供软硬一体机设备。</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设备高度不少于</w:t>
            </w:r>
            <w:r>
              <w:rPr>
                <w:rFonts w:ascii="仿宋_GB2312" w:hAnsi="仿宋_GB2312" w:cs="仿宋_GB2312" w:eastAsia="仿宋_GB2312"/>
                <w:sz w:val="21"/>
              </w:rPr>
              <w:t>2U</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网络接口不少于</w:t>
            </w:r>
            <w:r>
              <w:rPr>
                <w:rFonts w:ascii="仿宋_GB2312" w:hAnsi="仿宋_GB2312" w:cs="仿宋_GB2312" w:eastAsia="仿宋_GB2312"/>
                <w:sz w:val="21"/>
              </w:rPr>
              <w:t>2</w:t>
            </w:r>
            <w:r>
              <w:rPr>
                <w:rFonts w:ascii="仿宋_GB2312" w:hAnsi="仿宋_GB2312" w:cs="仿宋_GB2312" w:eastAsia="仿宋_GB2312"/>
                <w:sz w:val="21"/>
              </w:rPr>
              <w:t>个千兆网口。</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电源指标：双电源。</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▲支持自定义时间收集证书应用环境发起的证书更新请求，统一由证书管理服务器批量更新证书，再由证书应用环境自动更新证书；证书更新支持在线和离线更新；</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系统提供网页版证书在线帮助、证书应用环境下载页、更新包导入；</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系统提供多院区、多科室管理功能，实现在多院区、多科室共用证书管理服务器时的信息分类，系统管理员可以按照院区及科室名称查询证书更新状态信息；</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系统支持查看系统状态、配置系统</w:t>
            </w:r>
            <w:r>
              <w:rPr>
                <w:rFonts w:ascii="仿宋_GB2312" w:hAnsi="仿宋_GB2312" w:cs="仿宋_GB2312" w:eastAsia="仿宋_GB2312"/>
                <w:sz w:val="21"/>
              </w:rPr>
              <w:t>IP/</w:t>
            </w:r>
            <w:r>
              <w:rPr>
                <w:rFonts w:ascii="仿宋_GB2312" w:hAnsi="仿宋_GB2312" w:cs="仿宋_GB2312" w:eastAsia="仿宋_GB2312"/>
                <w:sz w:val="21"/>
              </w:rPr>
              <w:t>端口，管理员管理、时间源管理、设备编号管理、日志管理、服务管理、备份恢复功能；</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▲可开关时间源同步状态，配置时间源服务器地址，保证签名验签服务器时间的准确性，另外支持手工设定服务器时间；</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提供备份恢复功能，可通过界面备份当前所有配置，保证系统瘫痪时的快速恢复；</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提供日志记录，可将日志以</w:t>
            </w:r>
            <w:r>
              <w:rPr>
                <w:rFonts w:ascii="仿宋_GB2312" w:hAnsi="仿宋_GB2312" w:cs="仿宋_GB2312" w:eastAsia="仿宋_GB2312"/>
                <w:sz w:val="21"/>
              </w:rPr>
              <w:t>syslog</w:t>
            </w:r>
            <w:r>
              <w:rPr>
                <w:rFonts w:ascii="仿宋_GB2312" w:hAnsi="仿宋_GB2312" w:cs="仿宋_GB2312" w:eastAsia="仿宋_GB2312"/>
                <w:sz w:val="21"/>
              </w:rPr>
              <w:t>的方式发送到指定服务器；</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兼容我院证书应用环境，对我院现有数字证书进行更新和管理；</w:t>
            </w:r>
          </w:p>
        </w:tc>
      </w:tr>
      <w:tr>
        <w:tc>
          <w:tcPr>
            <w:tcW w:type="dxa" w:w="2076"/>
          </w:tcPr>
          <w:p/>
        </w:tc>
        <w:tc>
          <w:tcPr>
            <w:tcW w:type="dxa" w:w="2076"/>
          </w:tcPr>
          <w:p>
            <w:pPr>
              <w:pStyle w:val="null3"/>
            </w:pPr>
            <w:r>
              <w:rPr>
                <w:rFonts w:ascii="仿宋_GB2312" w:hAnsi="仿宋_GB2312" w:cs="仿宋_GB2312" w:eastAsia="仿宋_GB2312"/>
              </w:rPr>
              <w:t>5</w:t>
            </w:r>
          </w:p>
        </w:tc>
        <w:tc>
          <w:tcPr>
            <w:tcW w:type="dxa" w:w="2076"/>
          </w:tcPr>
          <w:p>
            <w:pPr>
              <w:pStyle w:val="null3"/>
            </w:pPr>
            <w:r>
              <w:rPr>
                <w:rFonts w:ascii="仿宋_GB2312" w:hAnsi="仿宋_GB2312" w:cs="仿宋_GB2312" w:eastAsia="仿宋_GB2312"/>
              </w:rPr>
              <w:t>服务器设备数字证书</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确认网站的身份和可信度，确保用户可信任该网站</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符合《卫生系统数字证书格式规范（试行）》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符合《卫生系统电子认证服务规范（试行）》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符合《卫生系统数字证书介质技术规范（试行）》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符合《卫生系统数字证书应用集成规范（试行）》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符合《卫生系统数字证书服务管理平台接入规范（试行）》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证书格式标准遵循</w:t>
            </w: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509v3</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支持自定义证书扩展域管理</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证书有效期一年</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证书签发机构具备《电子认证服务许可证》</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▲实现与现用服务器的适配</w:t>
            </w:r>
          </w:p>
        </w:tc>
      </w:tr>
      <w:tr>
        <w:tc>
          <w:tcPr>
            <w:tcW w:type="dxa" w:w="2076"/>
          </w:tcPr>
          <w:p/>
        </w:tc>
        <w:tc>
          <w:tcPr>
            <w:tcW w:type="dxa" w:w="2076"/>
          </w:tcPr>
          <w:p>
            <w:pPr>
              <w:pStyle w:val="null3"/>
            </w:pPr>
            <w:r>
              <w:rPr>
                <w:rFonts w:ascii="仿宋_GB2312" w:hAnsi="仿宋_GB2312" w:cs="仿宋_GB2312" w:eastAsia="仿宋_GB2312"/>
              </w:rPr>
              <w:t>6</w:t>
            </w:r>
          </w:p>
        </w:tc>
        <w:tc>
          <w:tcPr>
            <w:tcW w:type="dxa" w:w="2076"/>
          </w:tcPr>
          <w:p>
            <w:pPr>
              <w:pStyle w:val="null3"/>
            </w:pPr>
            <w:r>
              <w:rPr>
                <w:rFonts w:ascii="仿宋_GB2312" w:hAnsi="仿宋_GB2312" w:cs="仿宋_GB2312" w:eastAsia="仿宋_GB2312"/>
              </w:rPr>
              <w:t>个人数字证书</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标识个人用户网络身份</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符合《卫生系统数字证书格式规范（试行）》</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符合《卫生系统电子认证服务规范（试行）》</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符合《卫生系统数字证书介质技术规范（试行）》</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符合《卫生系统数字证书应用集成规范（试行）》</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符合《卫生系统数字证书服务管理平台接入规范（试行）》</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证书格式标准遵循</w:t>
            </w:r>
            <w:r>
              <w:rPr>
                <w:rFonts w:ascii="仿宋_GB2312" w:hAnsi="仿宋_GB2312" w:cs="仿宋_GB2312" w:eastAsia="仿宋_GB2312"/>
                <w:sz w:val="21"/>
              </w:rPr>
              <w:t>x</w:t>
            </w:r>
            <w:r>
              <w:rPr>
                <w:rFonts w:ascii="仿宋_GB2312" w:hAnsi="仿宋_GB2312" w:cs="仿宋_GB2312" w:eastAsia="仿宋_GB2312"/>
                <w:sz w:val="21"/>
              </w:rPr>
              <w:t>．</w:t>
            </w:r>
            <w:r>
              <w:rPr>
                <w:rFonts w:ascii="仿宋_GB2312" w:hAnsi="仿宋_GB2312" w:cs="仿宋_GB2312" w:eastAsia="仿宋_GB2312"/>
                <w:sz w:val="21"/>
              </w:rPr>
              <w:t>509v3</w:t>
            </w:r>
            <w:r>
              <w:rPr>
                <w:rFonts w:ascii="仿宋_GB2312" w:hAnsi="仿宋_GB2312" w:cs="仿宋_GB2312" w:eastAsia="仿宋_GB2312"/>
                <w:sz w:val="21"/>
              </w:rPr>
              <w:t>标准</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支持自定义证书扩展域管理</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证书有效期一年</w:t>
            </w:r>
          </w:p>
        </w:tc>
      </w:tr>
      <w:tr>
        <w:tc>
          <w:tcPr>
            <w:tcW w:type="dxa" w:w="2076"/>
          </w:tcPr>
          <w:p/>
        </w:tc>
        <w:tc>
          <w:tcPr>
            <w:tcW w:type="dxa" w:w="2076"/>
          </w:tcPr>
          <w:p>
            <w:pPr>
              <w:pStyle w:val="null3"/>
            </w:pPr>
            <w:r>
              <w:rPr>
                <w:rFonts w:ascii="仿宋_GB2312" w:hAnsi="仿宋_GB2312" w:cs="仿宋_GB2312" w:eastAsia="仿宋_GB2312"/>
              </w:rPr>
              <w:t>7</w:t>
            </w:r>
          </w:p>
        </w:tc>
        <w:tc>
          <w:tcPr>
            <w:tcW w:type="dxa" w:w="2076"/>
          </w:tcPr>
          <w:p>
            <w:pPr>
              <w:pStyle w:val="null3"/>
            </w:pPr>
            <w:r>
              <w:rPr>
                <w:rFonts w:ascii="仿宋_GB2312" w:hAnsi="仿宋_GB2312" w:cs="仿宋_GB2312" w:eastAsia="仿宋_GB2312"/>
              </w:rPr>
              <w:t>USBKey证书存储介质</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符合卫生部《卫生系统数字证书介质规范（试行）》</w:t>
            </w:r>
          </w:p>
          <w:p>
            <w:pPr>
              <w:pStyle w:val="null3"/>
              <w:jc w:val="both"/>
            </w:pPr>
            <w:r>
              <w:rPr>
                <w:rFonts w:ascii="仿宋_GB2312" w:hAnsi="仿宋_GB2312" w:cs="仿宋_GB2312" w:eastAsia="仿宋_GB2312"/>
                <w:sz w:val="21"/>
              </w:rPr>
              <w:t>2.USB Key</w:t>
            </w:r>
            <w:r>
              <w:rPr>
                <w:rFonts w:ascii="仿宋_GB2312" w:hAnsi="仿宋_GB2312" w:cs="仿宋_GB2312" w:eastAsia="仿宋_GB2312"/>
                <w:sz w:val="21"/>
              </w:rPr>
              <w:t>为标准</w:t>
            </w:r>
            <w:r>
              <w:rPr>
                <w:rFonts w:ascii="仿宋_GB2312" w:hAnsi="仿宋_GB2312" w:cs="仿宋_GB2312" w:eastAsia="仿宋_GB2312"/>
                <w:sz w:val="21"/>
              </w:rPr>
              <w:t>USB 1.1</w:t>
            </w:r>
            <w:r>
              <w:rPr>
                <w:rFonts w:ascii="仿宋_GB2312" w:hAnsi="仿宋_GB2312" w:cs="仿宋_GB2312" w:eastAsia="仿宋_GB2312"/>
                <w:sz w:val="21"/>
              </w:rPr>
              <w:t>设备，支持</w:t>
            </w:r>
            <w:r>
              <w:rPr>
                <w:rFonts w:ascii="仿宋_GB2312" w:hAnsi="仿宋_GB2312" w:cs="仿宋_GB2312" w:eastAsia="仿宋_GB2312"/>
                <w:sz w:val="21"/>
              </w:rPr>
              <w:t>USB2.0</w:t>
            </w:r>
            <w:r>
              <w:rPr>
                <w:rFonts w:ascii="仿宋_GB2312" w:hAnsi="仿宋_GB2312" w:cs="仿宋_GB2312" w:eastAsia="仿宋_GB2312"/>
                <w:sz w:val="21"/>
              </w:rPr>
              <w:t>接口</w:t>
            </w:r>
          </w:p>
          <w:p>
            <w:pPr>
              <w:pStyle w:val="null3"/>
              <w:jc w:val="both"/>
            </w:pPr>
            <w:r>
              <w:rPr>
                <w:rFonts w:ascii="仿宋_GB2312" w:hAnsi="仿宋_GB2312" w:cs="仿宋_GB2312" w:eastAsia="仿宋_GB2312"/>
                <w:sz w:val="21"/>
              </w:rPr>
              <w:t>3.32</w:t>
            </w:r>
            <w:r>
              <w:rPr>
                <w:rFonts w:ascii="仿宋_GB2312" w:hAnsi="仿宋_GB2312" w:cs="仿宋_GB2312" w:eastAsia="仿宋_GB2312"/>
                <w:sz w:val="21"/>
              </w:rPr>
              <w:t>位</w:t>
            </w:r>
            <w:r>
              <w:rPr>
                <w:rFonts w:ascii="仿宋_GB2312" w:hAnsi="仿宋_GB2312" w:cs="仿宋_GB2312" w:eastAsia="仿宋_GB2312"/>
                <w:sz w:val="21"/>
              </w:rPr>
              <w:t>CPU</w:t>
            </w:r>
            <w:r>
              <w:rPr>
                <w:rFonts w:ascii="仿宋_GB2312" w:hAnsi="仿宋_GB2312" w:cs="仿宋_GB2312" w:eastAsia="仿宋_GB2312"/>
                <w:sz w:val="21"/>
              </w:rPr>
              <w:t>，大于等于</w:t>
            </w:r>
            <w:r>
              <w:rPr>
                <w:rFonts w:ascii="仿宋_GB2312" w:hAnsi="仿宋_GB2312" w:cs="仿宋_GB2312" w:eastAsia="仿宋_GB2312"/>
                <w:sz w:val="21"/>
              </w:rPr>
              <w:t>64K</w:t>
            </w:r>
            <w:r>
              <w:rPr>
                <w:rFonts w:ascii="仿宋_GB2312" w:hAnsi="仿宋_GB2312" w:cs="仿宋_GB2312" w:eastAsia="仿宋_GB2312"/>
                <w:sz w:val="21"/>
              </w:rPr>
              <w:t>字节证书</w:t>
            </w:r>
            <w:r>
              <w:rPr>
                <w:rFonts w:ascii="仿宋_GB2312" w:hAnsi="仿宋_GB2312" w:cs="仿宋_GB2312" w:eastAsia="仿宋_GB2312"/>
                <w:sz w:val="21"/>
              </w:rPr>
              <w:t>(</w:t>
            </w:r>
            <w:r>
              <w:rPr>
                <w:rFonts w:ascii="仿宋_GB2312" w:hAnsi="仿宋_GB2312" w:cs="仿宋_GB2312" w:eastAsia="仿宋_GB2312"/>
                <w:sz w:val="21"/>
              </w:rPr>
              <w:t>密钥存储</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4.USB Key</w:t>
            </w:r>
            <w:r>
              <w:rPr>
                <w:rFonts w:ascii="仿宋_GB2312" w:hAnsi="仿宋_GB2312" w:cs="仿宋_GB2312" w:eastAsia="仿宋_GB2312"/>
                <w:sz w:val="21"/>
              </w:rPr>
              <w:t>自身的安全要求：具备完善的</w:t>
            </w:r>
            <w:r>
              <w:rPr>
                <w:rFonts w:ascii="仿宋_GB2312" w:hAnsi="仿宋_GB2312" w:cs="仿宋_GB2312" w:eastAsia="仿宋_GB2312"/>
                <w:sz w:val="21"/>
              </w:rPr>
              <w:t>PIN</w:t>
            </w:r>
            <w:r>
              <w:rPr>
                <w:rFonts w:ascii="仿宋_GB2312" w:hAnsi="仿宋_GB2312" w:cs="仿宋_GB2312" w:eastAsia="仿宋_GB2312"/>
                <w:sz w:val="21"/>
              </w:rPr>
              <w:t>校验保护功能</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w:t>
            </w:r>
            <w:r>
              <w:rPr>
                <w:rFonts w:ascii="仿宋_GB2312" w:hAnsi="仿宋_GB2312" w:cs="仿宋_GB2312" w:eastAsia="仿宋_GB2312"/>
                <w:sz w:val="21"/>
              </w:rPr>
              <w:t>SM2</w:t>
            </w:r>
            <w:r>
              <w:rPr>
                <w:rFonts w:ascii="仿宋_GB2312" w:hAnsi="仿宋_GB2312" w:cs="仿宋_GB2312" w:eastAsia="仿宋_GB2312"/>
                <w:sz w:val="21"/>
              </w:rPr>
              <w:t>、</w:t>
            </w:r>
            <w:r>
              <w:rPr>
                <w:rFonts w:ascii="仿宋_GB2312" w:hAnsi="仿宋_GB2312" w:cs="仿宋_GB2312" w:eastAsia="仿宋_GB2312"/>
                <w:sz w:val="21"/>
              </w:rPr>
              <w:t>RSA</w:t>
            </w:r>
            <w:r>
              <w:rPr>
                <w:rFonts w:ascii="仿宋_GB2312" w:hAnsi="仿宋_GB2312" w:cs="仿宋_GB2312" w:eastAsia="仿宋_GB2312"/>
                <w:sz w:val="21"/>
              </w:rPr>
              <w:t>密码算法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兼容我院现有数字证书和 CA 电子签名系统</w:t>
            </w:r>
          </w:p>
        </w:tc>
      </w:tr>
      <w:tr>
        <w:tc>
          <w:tcPr>
            <w:tcW w:type="dxa" w:w="2076"/>
          </w:tcPr>
          <w:p/>
        </w:tc>
        <w:tc>
          <w:tcPr>
            <w:tcW w:type="dxa" w:w="2076"/>
          </w:tcPr>
          <w:p>
            <w:pPr>
              <w:pStyle w:val="null3"/>
            </w:pPr>
            <w:r>
              <w:rPr>
                <w:rFonts w:ascii="仿宋_GB2312" w:hAnsi="仿宋_GB2312" w:cs="仿宋_GB2312" w:eastAsia="仿宋_GB2312"/>
              </w:rPr>
              <w:t>8</w:t>
            </w:r>
          </w:p>
        </w:tc>
        <w:tc>
          <w:tcPr>
            <w:tcW w:type="dxa" w:w="2076"/>
          </w:tcPr>
          <w:p>
            <w:pPr>
              <w:pStyle w:val="null3"/>
            </w:pPr>
            <w:r>
              <w:rPr>
                <w:rFonts w:ascii="仿宋_GB2312" w:hAnsi="仿宋_GB2312" w:cs="仿宋_GB2312" w:eastAsia="仿宋_GB2312"/>
              </w:rPr>
              <w:t>患者签名手写板</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显示屏尺寸：≥</w:t>
            </w:r>
            <w:r>
              <w:rPr>
                <w:rFonts w:ascii="仿宋_GB2312" w:hAnsi="仿宋_GB2312" w:cs="仿宋_GB2312" w:eastAsia="仿宋_GB2312"/>
                <w:sz w:val="21"/>
              </w:rPr>
              <w:t>10</w:t>
            </w:r>
            <w:r>
              <w:rPr>
                <w:rFonts w:ascii="仿宋_GB2312" w:hAnsi="仿宋_GB2312" w:cs="仿宋_GB2312" w:eastAsia="仿宋_GB2312"/>
                <w:sz w:val="21"/>
              </w:rPr>
              <w:t>英寸</w:t>
            </w:r>
            <w:r>
              <w:rPr>
                <w:rFonts w:ascii="仿宋_GB2312" w:hAnsi="仿宋_GB2312" w:cs="仿宋_GB2312" w:eastAsia="仿宋_GB2312"/>
                <w:sz w:val="21"/>
              </w:rPr>
              <w:t>,</w:t>
            </w:r>
            <w:r>
              <w:rPr>
                <w:rFonts w:ascii="仿宋_GB2312" w:hAnsi="仿宋_GB2312" w:cs="仿宋_GB2312" w:eastAsia="仿宋_GB2312"/>
                <w:sz w:val="21"/>
              </w:rPr>
              <w:t>分辨率：≥</w:t>
            </w:r>
            <w:r>
              <w:rPr>
                <w:rFonts w:ascii="仿宋_GB2312" w:hAnsi="仿宋_GB2312" w:cs="仿宋_GB2312" w:eastAsia="仿宋_GB2312"/>
                <w:sz w:val="21"/>
              </w:rPr>
              <w:t>1280*800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基于电磁压感响应技术，精准采集手写笔迹每一点的坐标、压力与速度，实现对签名人手写生物特征的完整采集；</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集成电容指纹采集模块，可在手写签名同时记录签名人指纹数据，从而提高签名身份鉴别能力和应用安全性；</w:t>
            </w:r>
          </w:p>
          <w:p>
            <w:pPr>
              <w:pStyle w:val="null3"/>
              <w:jc w:val="both"/>
            </w:pPr>
            <w:r>
              <w:rPr>
                <w:rFonts w:ascii="仿宋_GB2312" w:hAnsi="仿宋_GB2312" w:cs="仿宋_GB2312" w:eastAsia="仿宋_GB2312"/>
                <w:sz w:val="21"/>
              </w:rPr>
              <w:t xml:space="preserve">4.USB </w:t>
            </w:r>
            <w:r>
              <w:rPr>
                <w:rFonts w:ascii="仿宋_GB2312" w:hAnsi="仿宋_GB2312" w:cs="仿宋_GB2312" w:eastAsia="仿宋_GB2312"/>
                <w:sz w:val="21"/>
              </w:rPr>
              <w:t>总线供电扩展：支持</w:t>
            </w:r>
            <w:r>
              <w:rPr>
                <w:rFonts w:ascii="仿宋_GB2312" w:hAnsi="仿宋_GB2312" w:cs="仿宋_GB2312" w:eastAsia="仿宋_GB2312"/>
                <w:sz w:val="21"/>
              </w:rPr>
              <w:t>USB</w:t>
            </w:r>
            <w:r>
              <w:rPr>
                <w:rFonts w:ascii="仿宋_GB2312" w:hAnsi="仿宋_GB2312" w:cs="仿宋_GB2312" w:eastAsia="仿宋_GB2312"/>
                <w:sz w:val="21"/>
              </w:rPr>
              <w:t>扩展；</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内置密码芯片，支持国产密码算法；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屏幕比率：手写板须提供支持将</w:t>
            </w:r>
            <w:r>
              <w:rPr>
                <w:rFonts w:ascii="仿宋_GB2312" w:hAnsi="仿宋_GB2312" w:cs="仿宋_GB2312" w:eastAsia="仿宋_GB2312"/>
                <w:sz w:val="21"/>
              </w:rPr>
              <w:t>PC</w:t>
            </w:r>
            <w:r>
              <w:rPr>
                <w:rFonts w:ascii="仿宋_GB2312" w:hAnsi="仿宋_GB2312" w:cs="仿宋_GB2312" w:eastAsia="仿宋_GB2312"/>
                <w:sz w:val="21"/>
              </w:rPr>
              <w:t>界面在手写签名板的屏幕上扩展显示，屏幕显示比例</w:t>
            </w:r>
            <w:r>
              <w:rPr>
                <w:rFonts w:ascii="仿宋_GB2312" w:hAnsi="仿宋_GB2312" w:cs="仿宋_GB2312" w:eastAsia="仿宋_GB2312"/>
                <w:sz w:val="21"/>
              </w:rPr>
              <w:t>16:9</w:t>
            </w:r>
            <w:r>
              <w:rPr>
                <w:rFonts w:ascii="仿宋_GB2312" w:hAnsi="仿宋_GB2312" w:cs="仿宋_GB2312" w:eastAsia="仿宋_GB2312"/>
                <w:sz w:val="21"/>
              </w:rPr>
              <w:t>或</w:t>
            </w:r>
            <w:r>
              <w:rPr>
                <w:rFonts w:ascii="仿宋_GB2312" w:hAnsi="仿宋_GB2312" w:cs="仿宋_GB2312" w:eastAsia="仿宋_GB2312"/>
                <w:sz w:val="21"/>
              </w:rPr>
              <w:t>16:10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支持多字抄录、笔迹留痕，整话抄录。</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设备自带一年患者签名证书服务；</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▲兼容我院现有手写信息数字签名系统</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▲产品具有商用密码产品认证证书</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产品具有中国国家强制性产品认证证书</w:t>
            </w:r>
          </w:p>
        </w:tc>
      </w:tr>
      <w:tr>
        <w:tc>
          <w:tcPr>
            <w:tcW w:type="dxa" w:w="2076"/>
          </w:tcPr>
          <w:p/>
        </w:tc>
        <w:tc>
          <w:tcPr>
            <w:tcW w:type="dxa" w:w="2076"/>
          </w:tcPr>
          <w:p>
            <w:pPr>
              <w:pStyle w:val="null3"/>
            </w:pPr>
            <w:r>
              <w:rPr>
                <w:rFonts w:ascii="仿宋_GB2312" w:hAnsi="仿宋_GB2312" w:cs="仿宋_GB2312" w:eastAsia="仿宋_GB2312"/>
              </w:rPr>
              <w:t>9</w:t>
            </w:r>
          </w:p>
        </w:tc>
        <w:tc>
          <w:tcPr>
            <w:tcW w:type="dxa" w:w="2076"/>
          </w:tcPr>
          <w:p>
            <w:pPr>
              <w:pStyle w:val="null3"/>
            </w:pPr>
            <w:r>
              <w:rPr>
                <w:rFonts w:ascii="仿宋_GB2312" w:hAnsi="仿宋_GB2312" w:cs="仿宋_GB2312" w:eastAsia="仿宋_GB2312"/>
              </w:rPr>
              <w:t>移动端患者签名手写板（核心设备）</w:t>
            </w:r>
          </w:p>
        </w:tc>
        <w:tc>
          <w:tcPr>
            <w:tcW w:type="dxa" w:w="2076"/>
          </w:tcPr>
          <w:p>
            <w:pPr>
              <w:pStyle w:val="null3"/>
              <w:jc w:val="both"/>
            </w:pPr>
            <w:r>
              <w:rPr>
                <w:rFonts w:ascii="仿宋_GB2312" w:hAnsi="仿宋_GB2312" w:cs="仿宋_GB2312" w:eastAsia="仿宋_GB2312"/>
                <w:sz w:val="21"/>
              </w:rPr>
              <w:t>1.</w:t>
            </w:r>
            <w:r>
              <w:rPr>
                <w:rFonts w:ascii="仿宋_GB2312" w:hAnsi="仿宋_GB2312" w:cs="仿宋_GB2312" w:eastAsia="仿宋_GB2312"/>
                <w:sz w:val="21"/>
              </w:rPr>
              <w:t>▲内置安卓系统带手写笔，支持原笔迹签名回放、信息交互、身份识别、指纹识别、人像拍照、人证比对；</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系统：支持</w:t>
            </w:r>
            <w:r>
              <w:rPr>
                <w:rFonts w:ascii="仿宋_GB2312" w:hAnsi="仿宋_GB2312" w:cs="仿宋_GB2312" w:eastAsia="仿宋_GB2312"/>
                <w:sz w:val="21"/>
              </w:rPr>
              <w:t>Android 10</w:t>
            </w:r>
            <w:r>
              <w:rPr>
                <w:rFonts w:ascii="仿宋_GB2312" w:hAnsi="仿宋_GB2312" w:cs="仿宋_GB2312" w:eastAsia="仿宋_GB2312"/>
                <w:sz w:val="21"/>
              </w:rPr>
              <w:t>及以上；</w:t>
            </w:r>
          </w:p>
          <w:p>
            <w:pPr>
              <w:pStyle w:val="null3"/>
              <w:jc w:val="both"/>
            </w:pPr>
            <w:r>
              <w:rPr>
                <w:rFonts w:ascii="仿宋_GB2312" w:hAnsi="仿宋_GB2312" w:cs="仿宋_GB2312" w:eastAsia="仿宋_GB2312"/>
                <w:sz w:val="21"/>
              </w:rPr>
              <w:t>3.</w:t>
            </w:r>
            <w:r>
              <w:rPr>
                <w:rFonts w:ascii="仿宋_GB2312" w:hAnsi="仿宋_GB2312" w:cs="仿宋_GB2312" w:eastAsia="仿宋_GB2312"/>
                <w:sz w:val="21"/>
              </w:rPr>
              <w:t>系统内存：≥</w:t>
            </w:r>
            <w:r>
              <w:rPr>
                <w:rFonts w:ascii="仿宋_GB2312" w:hAnsi="仿宋_GB2312" w:cs="仿宋_GB2312" w:eastAsia="仿宋_GB2312"/>
                <w:sz w:val="21"/>
              </w:rPr>
              <w:t>2GB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4.</w:t>
            </w:r>
            <w:r>
              <w:rPr>
                <w:rFonts w:ascii="仿宋_GB2312" w:hAnsi="仿宋_GB2312" w:cs="仿宋_GB2312" w:eastAsia="仿宋_GB2312"/>
                <w:sz w:val="21"/>
              </w:rPr>
              <w:t>存储：≥</w:t>
            </w:r>
            <w:r>
              <w:rPr>
                <w:rFonts w:ascii="仿宋_GB2312" w:hAnsi="仿宋_GB2312" w:cs="仿宋_GB2312" w:eastAsia="仿宋_GB2312"/>
                <w:sz w:val="21"/>
              </w:rPr>
              <w:t>16GB</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5.</w:t>
            </w:r>
            <w:r>
              <w:rPr>
                <w:rFonts w:ascii="仿宋_GB2312" w:hAnsi="仿宋_GB2312" w:cs="仿宋_GB2312" w:eastAsia="仿宋_GB2312"/>
                <w:sz w:val="21"/>
              </w:rPr>
              <w:t>支持存储扩展；</w:t>
            </w:r>
          </w:p>
          <w:p>
            <w:pPr>
              <w:pStyle w:val="null3"/>
              <w:jc w:val="both"/>
            </w:pPr>
            <w:r>
              <w:rPr>
                <w:rFonts w:ascii="仿宋_GB2312" w:hAnsi="仿宋_GB2312" w:cs="仿宋_GB2312" w:eastAsia="仿宋_GB2312"/>
                <w:sz w:val="21"/>
              </w:rPr>
              <w:t>6.</w:t>
            </w:r>
            <w:r>
              <w:rPr>
                <w:rFonts w:ascii="仿宋_GB2312" w:hAnsi="仿宋_GB2312" w:cs="仿宋_GB2312" w:eastAsia="仿宋_GB2312"/>
                <w:sz w:val="21"/>
              </w:rPr>
              <w:t>▲加密模块：支持国产软件加密算法，对本机的用户静态数据都能进行加密处理，保障用户的静态数据安全。当终端进行数据传输时，传输数据可采用加密</w:t>
            </w:r>
            <w:r>
              <w:rPr>
                <w:rFonts w:ascii="仿宋_GB2312" w:hAnsi="仿宋_GB2312" w:cs="仿宋_GB2312" w:eastAsia="仿宋_GB2312"/>
                <w:sz w:val="21"/>
              </w:rPr>
              <w:t>+</w:t>
            </w:r>
            <w:r>
              <w:rPr>
                <w:rFonts w:ascii="仿宋_GB2312" w:hAnsi="仿宋_GB2312" w:cs="仿宋_GB2312" w:eastAsia="仿宋_GB2312"/>
                <w:sz w:val="21"/>
              </w:rPr>
              <w:t>签名的手段，保证数据传输过程的保密性和防篡改，保障数据传输安全；</w:t>
            </w:r>
          </w:p>
          <w:p>
            <w:pPr>
              <w:pStyle w:val="null3"/>
              <w:jc w:val="both"/>
            </w:pPr>
            <w:r>
              <w:rPr>
                <w:rFonts w:ascii="仿宋_GB2312" w:hAnsi="仿宋_GB2312" w:cs="仿宋_GB2312" w:eastAsia="仿宋_GB2312"/>
                <w:sz w:val="21"/>
              </w:rPr>
              <w:t>7.</w:t>
            </w:r>
            <w:r>
              <w:rPr>
                <w:rFonts w:ascii="仿宋_GB2312" w:hAnsi="仿宋_GB2312" w:cs="仿宋_GB2312" w:eastAsia="仿宋_GB2312"/>
                <w:sz w:val="21"/>
              </w:rPr>
              <w:t>尺寸：≥</w:t>
            </w:r>
            <w:r>
              <w:rPr>
                <w:rFonts w:ascii="仿宋_GB2312" w:hAnsi="仿宋_GB2312" w:cs="仿宋_GB2312" w:eastAsia="仿宋_GB2312"/>
                <w:sz w:val="21"/>
              </w:rPr>
              <w:t>10</w:t>
            </w:r>
            <w:r>
              <w:rPr>
                <w:rFonts w:ascii="仿宋_GB2312" w:hAnsi="仿宋_GB2312" w:cs="仿宋_GB2312" w:eastAsia="仿宋_GB2312"/>
                <w:sz w:val="21"/>
              </w:rPr>
              <w:t>英寸，分辨率：≥</w:t>
            </w:r>
            <w:r>
              <w:rPr>
                <w:rFonts w:ascii="仿宋_GB2312" w:hAnsi="仿宋_GB2312" w:cs="仿宋_GB2312" w:eastAsia="仿宋_GB2312"/>
                <w:sz w:val="21"/>
              </w:rPr>
              <w:t>1280x800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8.</w:t>
            </w:r>
            <w:r>
              <w:rPr>
                <w:rFonts w:ascii="仿宋_GB2312" w:hAnsi="仿宋_GB2312" w:cs="仿宋_GB2312" w:eastAsia="仿宋_GB2312"/>
                <w:sz w:val="21"/>
              </w:rPr>
              <w:t>亮度：≥</w:t>
            </w:r>
            <w:r>
              <w:rPr>
                <w:rFonts w:ascii="仿宋_GB2312" w:hAnsi="仿宋_GB2312" w:cs="仿宋_GB2312" w:eastAsia="仿宋_GB2312"/>
                <w:sz w:val="21"/>
              </w:rPr>
              <w:t>250cd/m</w:t>
            </w:r>
            <w:r>
              <w:rPr>
                <w:rFonts w:ascii="仿宋_GB2312" w:hAnsi="仿宋_GB2312" w:cs="仿宋_GB2312" w:eastAsia="仿宋_GB2312"/>
                <w:sz w:val="21"/>
              </w:rPr>
              <w:t>²；</w:t>
            </w:r>
          </w:p>
          <w:p>
            <w:pPr>
              <w:pStyle w:val="null3"/>
              <w:jc w:val="both"/>
            </w:pPr>
            <w:r>
              <w:rPr>
                <w:rFonts w:ascii="仿宋_GB2312" w:hAnsi="仿宋_GB2312" w:cs="仿宋_GB2312" w:eastAsia="仿宋_GB2312"/>
                <w:sz w:val="21"/>
              </w:rPr>
              <w:t>9.</w:t>
            </w:r>
            <w:r>
              <w:rPr>
                <w:rFonts w:ascii="仿宋_GB2312" w:hAnsi="仿宋_GB2312" w:cs="仿宋_GB2312" w:eastAsia="仿宋_GB2312"/>
                <w:sz w:val="21"/>
              </w:rPr>
              <w:t>对比度：≥</w:t>
            </w:r>
            <w:r>
              <w:rPr>
                <w:rFonts w:ascii="仿宋_GB2312" w:hAnsi="仿宋_GB2312" w:cs="仿宋_GB2312" w:eastAsia="仿宋_GB2312"/>
                <w:sz w:val="21"/>
              </w:rPr>
              <w:t>800:1</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10.</w:t>
            </w:r>
            <w:r>
              <w:rPr>
                <w:rFonts w:ascii="仿宋_GB2312" w:hAnsi="仿宋_GB2312" w:cs="仿宋_GB2312" w:eastAsia="仿宋_GB2312"/>
                <w:sz w:val="21"/>
              </w:rPr>
              <w:t>颜色质量：≥</w:t>
            </w:r>
            <w:r>
              <w:rPr>
                <w:rFonts w:ascii="仿宋_GB2312" w:hAnsi="仿宋_GB2312" w:cs="仿宋_GB2312" w:eastAsia="仿宋_GB2312"/>
                <w:sz w:val="21"/>
              </w:rPr>
              <w:t>24</w:t>
            </w:r>
            <w:r>
              <w:rPr>
                <w:rFonts w:ascii="仿宋_GB2312" w:hAnsi="仿宋_GB2312" w:cs="仿宋_GB2312" w:eastAsia="仿宋_GB2312"/>
                <w:sz w:val="21"/>
              </w:rPr>
              <w:t>位真彩色；</w:t>
            </w:r>
          </w:p>
          <w:p>
            <w:pPr>
              <w:pStyle w:val="null3"/>
              <w:jc w:val="both"/>
            </w:pPr>
            <w:r>
              <w:rPr>
                <w:rFonts w:ascii="仿宋_GB2312" w:hAnsi="仿宋_GB2312" w:cs="仿宋_GB2312" w:eastAsia="仿宋_GB2312"/>
                <w:sz w:val="21"/>
              </w:rPr>
              <w:t>11.</w:t>
            </w:r>
            <w:r>
              <w:rPr>
                <w:rFonts w:ascii="仿宋_GB2312" w:hAnsi="仿宋_GB2312" w:cs="仿宋_GB2312" w:eastAsia="仿宋_GB2312"/>
                <w:sz w:val="21"/>
              </w:rPr>
              <w:t>屏幕：电容屏；</w:t>
            </w:r>
          </w:p>
          <w:p>
            <w:pPr>
              <w:pStyle w:val="null3"/>
              <w:jc w:val="both"/>
            </w:pPr>
            <w:r>
              <w:rPr>
                <w:rFonts w:ascii="仿宋_GB2312" w:hAnsi="仿宋_GB2312" w:cs="仿宋_GB2312" w:eastAsia="仿宋_GB2312"/>
                <w:sz w:val="21"/>
              </w:rPr>
              <w:t>12.</w:t>
            </w:r>
            <w:r>
              <w:rPr>
                <w:rFonts w:ascii="仿宋_GB2312" w:hAnsi="仿宋_GB2312" w:cs="仿宋_GB2312" w:eastAsia="仿宋_GB2312"/>
                <w:sz w:val="21"/>
              </w:rPr>
              <w:t>触控：≥</w:t>
            </w:r>
            <w:r>
              <w:rPr>
                <w:rFonts w:ascii="仿宋_GB2312" w:hAnsi="仿宋_GB2312" w:cs="仿宋_GB2312" w:eastAsia="仿宋_GB2312"/>
                <w:sz w:val="21"/>
              </w:rPr>
              <w:t>10</w:t>
            </w:r>
            <w:r>
              <w:rPr>
                <w:rFonts w:ascii="仿宋_GB2312" w:hAnsi="仿宋_GB2312" w:cs="仿宋_GB2312" w:eastAsia="仿宋_GB2312"/>
                <w:sz w:val="21"/>
              </w:rPr>
              <w:t>点触控；</w:t>
            </w:r>
          </w:p>
          <w:p>
            <w:pPr>
              <w:pStyle w:val="null3"/>
              <w:jc w:val="both"/>
            </w:pPr>
            <w:r>
              <w:rPr>
                <w:rFonts w:ascii="仿宋_GB2312" w:hAnsi="仿宋_GB2312" w:cs="仿宋_GB2312" w:eastAsia="仿宋_GB2312"/>
                <w:sz w:val="21"/>
              </w:rPr>
              <w:t>13.</w:t>
            </w:r>
            <w:r>
              <w:rPr>
                <w:rFonts w:ascii="仿宋_GB2312" w:hAnsi="仿宋_GB2312" w:cs="仿宋_GB2312" w:eastAsia="仿宋_GB2312"/>
                <w:sz w:val="21"/>
              </w:rPr>
              <w:t>无故障点击次数：≥</w:t>
            </w:r>
            <w:r>
              <w:rPr>
                <w:rFonts w:ascii="仿宋_GB2312" w:hAnsi="仿宋_GB2312" w:cs="仿宋_GB2312" w:eastAsia="仿宋_GB2312"/>
                <w:sz w:val="21"/>
              </w:rPr>
              <w:t>100</w:t>
            </w:r>
            <w:r>
              <w:rPr>
                <w:rFonts w:ascii="仿宋_GB2312" w:hAnsi="仿宋_GB2312" w:cs="仿宋_GB2312" w:eastAsia="仿宋_GB2312"/>
                <w:sz w:val="21"/>
              </w:rPr>
              <w:t>万次</w:t>
            </w:r>
          </w:p>
          <w:p>
            <w:pPr>
              <w:pStyle w:val="null3"/>
              <w:jc w:val="both"/>
            </w:pPr>
            <w:r>
              <w:rPr>
                <w:rFonts w:ascii="仿宋_GB2312" w:hAnsi="仿宋_GB2312" w:cs="仿宋_GB2312" w:eastAsia="仿宋_GB2312"/>
                <w:sz w:val="21"/>
              </w:rPr>
              <w:t>14.</w:t>
            </w:r>
            <w:r>
              <w:rPr>
                <w:rFonts w:ascii="仿宋_GB2312" w:hAnsi="仿宋_GB2312" w:cs="仿宋_GB2312" w:eastAsia="仿宋_GB2312"/>
                <w:sz w:val="21"/>
              </w:rPr>
              <w:t>感应方式：电磁感应</w:t>
            </w:r>
          </w:p>
          <w:p>
            <w:pPr>
              <w:pStyle w:val="null3"/>
              <w:jc w:val="both"/>
            </w:pPr>
            <w:r>
              <w:rPr>
                <w:rFonts w:ascii="仿宋_GB2312" w:hAnsi="仿宋_GB2312" w:cs="仿宋_GB2312" w:eastAsia="仿宋_GB2312"/>
                <w:sz w:val="21"/>
              </w:rPr>
              <w:t>15.</w:t>
            </w:r>
            <w:r>
              <w:rPr>
                <w:rFonts w:ascii="仿宋_GB2312" w:hAnsi="仿宋_GB2312" w:cs="仿宋_GB2312" w:eastAsia="仿宋_GB2312"/>
                <w:sz w:val="21"/>
              </w:rPr>
              <w:t>电子签名压感：≥</w:t>
            </w:r>
            <w:r>
              <w:rPr>
                <w:rFonts w:ascii="仿宋_GB2312" w:hAnsi="仿宋_GB2312" w:cs="仿宋_GB2312" w:eastAsia="仿宋_GB2312"/>
                <w:sz w:val="21"/>
              </w:rPr>
              <w:t>2048</w:t>
            </w:r>
          </w:p>
          <w:p>
            <w:pPr>
              <w:pStyle w:val="null3"/>
              <w:jc w:val="both"/>
            </w:pPr>
            <w:r>
              <w:rPr>
                <w:rFonts w:ascii="仿宋_GB2312" w:hAnsi="仿宋_GB2312" w:cs="仿宋_GB2312" w:eastAsia="仿宋_GB2312"/>
                <w:sz w:val="21"/>
              </w:rPr>
              <w:t>16.</w:t>
            </w:r>
            <w:r>
              <w:rPr>
                <w:rFonts w:ascii="仿宋_GB2312" w:hAnsi="仿宋_GB2312" w:cs="仿宋_GB2312" w:eastAsia="仿宋_GB2312"/>
                <w:sz w:val="21"/>
              </w:rPr>
              <w:t>最高读取速率：≥</w:t>
            </w:r>
            <w:r>
              <w:rPr>
                <w:rFonts w:ascii="仿宋_GB2312" w:hAnsi="仿宋_GB2312" w:cs="仿宋_GB2312" w:eastAsia="仿宋_GB2312"/>
                <w:sz w:val="21"/>
              </w:rPr>
              <w:t>220</w:t>
            </w:r>
            <w:r>
              <w:rPr>
                <w:rFonts w:ascii="仿宋_GB2312" w:hAnsi="仿宋_GB2312" w:cs="仿宋_GB2312" w:eastAsia="仿宋_GB2312"/>
                <w:sz w:val="21"/>
              </w:rPr>
              <w:t>点</w:t>
            </w:r>
            <w:r>
              <w:rPr>
                <w:rFonts w:ascii="仿宋_GB2312" w:hAnsi="仿宋_GB2312" w:cs="仿宋_GB2312" w:eastAsia="仿宋_GB2312"/>
                <w:sz w:val="21"/>
              </w:rPr>
              <w:t>/</w:t>
            </w:r>
            <w:r>
              <w:rPr>
                <w:rFonts w:ascii="仿宋_GB2312" w:hAnsi="仿宋_GB2312" w:cs="仿宋_GB2312" w:eastAsia="仿宋_GB2312"/>
                <w:sz w:val="21"/>
              </w:rPr>
              <w:t>秒</w:t>
            </w:r>
          </w:p>
          <w:p>
            <w:pPr>
              <w:pStyle w:val="null3"/>
              <w:jc w:val="both"/>
            </w:pPr>
            <w:r>
              <w:rPr>
                <w:rFonts w:ascii="仿宋_GB2312" w:hAnsi="仿宋_GB2312" w:cs="仿宋_GB2312" w:eastAsia="仿宋_GB2312"/>
                <w:sz w:val="21"/>
              </w:rPr>
              <w:t>17.</w:t>
            </w:r>
            <w:r>
              <w:rPr>
                <w:rFonts w:ascii="仿宋_GB2312" w:hAnsi="仿宋_GB2312" w:cs="仿宋_GB2312" w:eastAsia="仿宋_GB2312"/>
                <w:sz w:val="21"/>
              </w:rPr>
              <w:t>电磁笔：无源电磁笔</w:t>
            </w:r>
          </w:p>
          <w:p>
            <w:pPr>
              <w:pStyle w:val="null3"/>
              <w:jc w:val="both"/>
            </w:pPr>
            <w:r>
              <w:rPr>
                <w:rFonts w:ascii="仿宋_GB2312" w:hAnsi="仿宋_GB2312" w:cs="仿宋_GB2312" w:eastAsia="仿宋_GB2312"/>
                <w:sz w:val="21"/>
              </w:rPr>
              <w:t>18.</w:t>
            </w:r>
            <w:r>
              <w:rPr>
                <w:rFonts w:ascii="仿宋_GB2312" w:hAnsi="仿宋_GB2312" w:cs="仿宋_GB2312" w:eastAsia="仿宋_GB2312"/>
                <w:sz w:val="21"/>
              </w:rPr>
              <w:t>身份证读取：二代身份证信息采集；</w:t>
            </w:r>
          </w:p>
          <w:p>
            <w:pPr>
              <w:pStyle w:val="null3"/>
              <w:jc w:val="both"/>
            </w:pPr>
            <w:r>
              <w:rPr>
                <w:rFonts w:ascii="仿宋_GB2312" w:hAnsi="仿宋_GB2312" w:cs="仿宋_GB2312" w:eastAsia="仿宋_GB2312"/>
                <w:sz w:val="21"/>
              </w:rPr>
              <w:t>19.</w:t>
            </w:r>
            <w:r>
              <w:rPr>
                <w:rFonts w:ascii="仿宋_GB2312" w:hAnsi="仿宋_GB2312" w:cs="仿宋_GB2312" w:eastAsia="仿宋_GB2312"/>
                <w:sz w:val="21"/>
              </w:rPr>
              <w:t>▲指纹功能：电容式指纹仪，通过公安部标准认证。有效图像尺寸：</w:t>
            </w:r>
            <w:r>
              <w:rPr>
                <w:rFonts w:ascii="仿宋_GB2312" w:hAnsi="仿宋_GB2312" w:cs="仿宋_GB2312" w:eastAsia="仿宋_GB2312"/>
                <w:sz w:val="21"/>
              </w:rPr>
              <w:t>12.8 *18.0 mm</w:t>
            </w:r>
            <w:r>
              <w:rPr>
                <w:rFonts w:ascii="仿宋_GB2312" w:hAnsi="仿宋_GB2312" w:cs="仿宋_GB2312" w:eastAsia="仿宋_GB2312"/>
                <w:sz w:val="21"/>
              </w:rPr>
              <w:t>；图像大小：</w:t>
            </w:r>
            <w:r>
              <w:rPr>
                <w:rFonts w:ascii="仿宋_GB2312" w:hAnsi="仿宋_GB2312" w:cs="仿宋_GB2312" w:eastAsia="仿宋_GB2312"/>
                <w:sz w:val="21"/>
              </w:rPr>
              <w:t>256*360pixel</w:t>
            </w:r>
            <w:r>
              <w:rPr>
                <w:rFonts w:ascii="仿宋_GB2312" w:hAnsi="仿宋_GB2312" w:cs="仿宋_GB2312" w:eastAsia="仿宋_GB2312"/>
                <w:sz w:val="21"/>
              </w:rPr>
              <w:t>；图像分辨率：≥</w:t>
            </w:r>
            <w:r>
              <w:rPr>
                <w:rFonts w:ascii="仿宋_GB2312" w:hAnsi="仿宋_GB2312" w:cs="仿宋_GB2312" w:eastAsia="仿宋_GB2312"/>
                <w:sz w:val="21"/>
              </w:rPr>
              <w:t>508dpi</w:t>
            </w:r>
            <w:r>
              <w:rPr>
                <w:rFonts w:ascii="仿宋_GB2312" w:hAnsi="仿宋_GB2312" w:cs="仿宋_GB2312" w:eastAsia="仿宋_GB2312"/>
                <w:sz w:val="21"/>
              </w:rPr>
              <w:t>；比对方式：</w:t>
            </w:r>
            <w:r>
              <w:rPr>
                <w:rFonts w:ascii="仿宋_GB2312" w:hAnsi="仿宋_GB2312" w:cs="仿宋_GB2312" w:eastAsia="仿宋_GB2312"/>
                <w:sz w:val="21"/>
              </w:rPr>
              <w:t>1:1/1</w:t>
            </w:r>
            <w:r>
              <w:rPr>
                <w:rFonts w:ascii="仿宋_GB2312" w:hAnsi="仿宋_GB2312" w:cs="仿宋_GB2312" w:eastAsia="仿宋_GB2312"/>
                <w:sz w:val="21"/>
              </w:rPr>
              <w:t>：</w:t>
            </w:r>
            <w:r>
              <w:rPr>
                <w:rFonts w:ascii="仿宋_GB2312" w:hAnsi="仿宋_GB2312" w:cs="仿宋_GB2312" w:eastAsia="仿宋_GB2312"/>
                <w:sz w:val="21"/>
              </w:rPr>
              <w:t>N/</w:t>
            </w:r>
            <w:r>
              <w:rPr>
                <w:rFonts w:ascii="仿宋_GB2312" w:hAnsi="仿宋_GB2312" w:cs="仿宋_GB2312" w:eastAsia="仿宋_GB2312"/>
                <w:sz w:val="21"/>
              </w:rPr>
              <w:t>；认假率（</w:t>
            </w:r>
            <w:r>
              <w:rPr>
                <w:rFonts w:ascii="仿宋_GB2312" w:hAnsi="仿宋_GB2312" w:cs="仿宋_GB2312" w:eastAsia="仿宋_GB2312"/>
                <w:sz w:val="21"/>
              </w:rPr>
              <w:t>FAR</w:t>
            </w:r>
            <w:r>
              <w:rPr>
                <w:rFonts w:ascii="仿宋_GB2312" w:hAnsi="仿宋_GB2312" w:cs="仿宋_GB2312" w:eastAsia="仿宋_GB2312"/>
                <w:sz w:val="21"/>
              </w:rPr>
              <w:t>）：</w:t>
            </w:r>
            <w:r>
              <w:rPr>
                <w:rFonts w:ascii="仿宋_GB2312" w:hAnsi="仿宋_GB2312" w:cs="仿宋_GB2312" w:eastAsia="仿宋_GB2312"/>
                <w:sz w:val="21"/>
              </w:rPr>
              <w:t>&lt;0.0001%</w:t>
            </w:r>
          </w:p>
          <w:p>
            <w:pPr>
              <w:pStyle w:val="null3"/>
              <w:jc w:val="both"/>
            </w:pPr>
            <w:r>
              <w:rPr>
                <w:rFonts w:ascii="仿宋_GB2312" w:hAnsi="仿宋_GB2312" w:cs="仿宋_GB2312" w:eastAsia="仿宋_GB2312"/>
                <w:sz w:val="21"/>
              </w:rPr>
              <w:t>20.</w:t>
            </w:r>
            <w:r>
              <w:rPr>
                <w:rFonts w:ascii="仿宋_GB2312" w:hAnsi="仿宋_GB2312" w:cs="仿宋_GB2312" w:eastAsia="仿宋_GB2312"/>
                <w:sz w:val="21"/>
              </w:rPr>
              <w:t>摄像头：支持人脸信息采集，支持多视场角。</w:t>
            </w:r>
          </w:p>
          <w:p>
            <w:pPr>
              <w:pStyle w:val="null3"/>
              <w:jc w:val="both"/>
            </w:pPr>
            <w:r>
              <w:rPr>
                <w:rFonts w:ascii="仿宋_GB2312" w:hAnsi="仿宋_GB2312" w:cs="仿宋_GB2312" w:eastAsia="仿宋_GB2312"/>
                <w:sz w:val="21"/>
              </w:rPr>
              <w:t>21.</w:t>
            </w:r>
            <w:r>
              <w:rPr>
                <w:rFonts w:ascii="仿宋_GB2312" w:hAnsi="仿宋_GB2312" w:cs="仿宋_GB2312" w:eastAsia="仿宋_GB2312"/>
                <w:sz w:val="21"/>
              </w:rPr>
              <w:t>电池：含</w:t>
            </w:r>
            <w:r>
              <w:rPr>
                <w:rFonts w:ascii="仿宋_GB2312" w:hAnsi="仿宋_GB2312" w:cs="仿宋_GB2312" w:eastAsia="仿宋_GB2312"/>
                <w:sz w:val="21"/>
              </w:rPr>
              <w:t>7.4V</w:t>
            </w:r>
            <w:r>
              <w:rPr>
                <w:rFonts w:ascii="仿宋_GB2312" w:hAnsi="仿宋_GB2312" w:cs="仿宋_GB2312" w:eastAsia="仿宋_GB2312"/>
                <w:sz w:val="21"/>
              </w:rPr>
              <w:t>，≥</w:t>
            </w:r>
            <w:r>
              <w:rPr>
                <w:rFonts w:ascii="仿宋_GB2312" w:hAnsi="仿宋_GB2312" w:cs="仿宋_GB2312" w:eastAsia="仿宋_GB2312"/>
                <w:sz w:val="21"/>
              </w:rPr>
              <w:t>6000mAh</w:t>
            </w:r>
            <w:r>
              <w:rPr>
                <w:rFonts w:ascii="仿宋_GB2312" w:hAnsi="仿宋_GB2312" w:cs="仿宋_GB2312" w:eastAsia="仿宋_GB2312"/>
                <w:sz w:val="21"/>
              </w:rPr>
              <w:t>电池</w:t>
            </w:r>
          </w:p>
          <w:p>
            <w:pPr>
              <w:pStyle w:val="null3"/>
              <w:jc w:val="both"/>
            </w:pPr>
            <w:r>
              <w:rPr>
                <w:rFonts w:ascii="仿宋_GB2312" w:hAnsi="仿宋_GB2312" w:cs="仿宋_GB2312" w:eastAsia="仿宋_GB2312"/>
                <w:sz w:val="21"/>
              </w:rPr>
              <w:t>22.</w:t>
            </w:r>
            <w:r>
              <w:rPr>
                <w:rFonts w:ascii="仿宋_GB2312" w:hAnsi="仿宋_GB2312" w:cs="仿宋_GB2312" w:eastAsia="仿宋_GB2312"/>
                <w:sz w:val="21"/>
              </w:rPr>
              <w:t>待机时长：≥</w:t>
            </w:r>
            <w:r>
              <w:rPr>
                <w:rFonts w:ascii="仿宋_GB2312" w:hAnsi="仿宋_GB2312" w:cs="仿宋_GB2312" w:eastAsia="仿宋_GB2312"/>
                <w:sz w:val="21"/>
              </w:rPr>
              <w:t>60</w:t>
            </w:r>
            <w:r>
              <w:rPr>
                <w:rFonts w:ascii="仿宋_GB2312" w:hAnsi="仿宋_GB2312" w:cs="仿宋_GB2312" w:eastAsia="仿宋_GB2312"/>
                <w:sz w:val="21"/>
              </w:rPr>
              <w:t>小时；</w:t>
            </w:r>
          </w:p>
          <w:p>
            <w:pPr>
              <w:pStyle w:val="null3"/>
              <w:jc w:val="both"/>
            </w:pPr>
            <w:r>
              <w:rPr>
                <w:rFonts w:ascii="仿宋_GB2312" w:hAnsi="仿宋_GB2312" w:cs="仿宋_GB2312" w:eastAsia="仿宋_GB2312"/>
                <w:sz w:val="21"/>
              </w:rPr>
              <w:t>23.</w:t>
            </w:r>
            <w:r>
              <w:rPr>
                <w:rFonts w:ascii="仿宋_GB2312" w:hAnsi="仿宋_GB2312" w:cs="仿宋_GB2312" w:eastAsia="仿宋_GB2312"/>
                <w:sz w:val="21"/>
              </w:rPr>
              <w:t>电源：电压≥</w:t>
            </w:r>
            <w:r>
              <w:rPr>
                <w:rFonts w:ascii="仿宋_GB2312" w:hAnsi="仿宋_GB2312" w:cs="仿宋_GB2312" w:eastAsia="仿宋_GB2312"/>
                <w:sz w:val="21"/>
              </w:rPr>
              <w:t>5v,</w:t>
            </w:r>
            <w:r>
              <w:rPr>
                <w:rFonts w:ascii="仿宋_GB2312" w:hAnsi="仿宋_GB2312" w:cs="仿宋_GB2312" w:eastAsia="仿宋_GB2312"/>
                <w:sz w:val="21"/>
              </w:rPr>
              <w:t>电源≥</w:t>
            </w:r>
            <w:r>
              <w:rPr>
                <w:rFonts w:ascii="仿宋_GB2312" w:hAnsi="仿宋_GB2312" w:cs="仿宋_GB2312" w:eastAsia="仿宋_GB2312"/>
                <w:sz w:val="21"/>
              </w:rPr>
              <w:t>4A</w:t>
            </w:r>
          </w:p>
          <w:p>
            <w:pPr>
              <w:pStyle w:val="null3"/>
              <w:jc w:val="both"/>
            </w:pPr>
            <w:r>
              <w:rPr>
                <w:rFonts w:ascii="仿宋_GB2312" w:hAnsi="仿宋_GB2312" w:cs="仿宋_GB2312" w:eastAsia="仿宋_GB2312"/>
                <w:sz w:val="21"/>
              </w:rPr>
              <w:t>24.</w:t>
            </w:r>
            <w:r>
              <w:rPr>
                <w:rFonts w:ascii="仿宋_GB2312" w:hAnsi="仿宋_GB2312" w:cs="仿宋_GB2312" w:eastAsia="仿宋_GB2312"/>
                <w:sz w:val="21"/>
              </w:rPr>
              <w:t>网络：支持</w:t>
            </w:r>
            <w:r>
              <w:rPr>
                <w:rFonts w:ascii="仿宋_GB2312" w:hAnsi="仿宋_GB2312" w:cs="仿宋_GB2312" w:eastAsia="仿宋_GB2312"/>
                <w:sz w:val="21"/>
              </w:rPr>
              <w:t>WiFi/BT</w:t>
            </w:r>
            <w:r>
              <w:rPr>
                <w:rFonts w:ascii="仿宋_GB2312" w:hAnsi="仿宋_GB2312" w:cs="仿宋_GB2312" w:eastAsia="仿宋_GB2312"/>
                <w:sz w:val="21"/>
              </w:rPr>
              <w:t>模块、</w:t>
            </w:r>
            <w:r>
              <w:rPr>
                <w:rFonts w:ascii="仿宋_GB2312" w:hAnsi="仿宋_GB2312" w:cs="仿宋_GB2312" w:eastAsia="仿宋_GB2312"/>
                <w:sz w:val="21"/>
              </w:rPr>
              <w:t>5G/4G</w:t>
            </w:r>
            <w:r>
              <w:rPr>
                <w:rFonts w:ascii="仿宋_GB2312" w:hAnsi="仿宋_GB2312" w:cs="仿宋_GB2312" w:eastAsia="仿宋_GB2312"/>
                <w:sz w:val="21"/>
              </w:rPr>
              <w:t>等；</w:t>
            </w:r>
          </w:p>
          <w:p>
            <w:pPr>
              <w:pStyle w:val="null3"/>
              <w:jc w:val="both"/>
            </w:pPr>
            <w:r>
              <w:rPr>
                <w:rFonts w:ascii="仿宋_GB2312" w:hAnsi="仿宋_GB2312" w:cs="仿宋_GB2312" w:eastAsia="仿宋_GB2312"/>
                <w:sz w:val="21"/>
              </w:rPr>
              <w:t>25.</w:t>
            </w:r>
            <w:r>
              <w:rPr>
                <w:rFonts w:ascii="仿宋_GB2312" w:hAnsi="仿宋_GB2312" w:cs="仿宋_GB2312" w:eastAsia="仿宋_GB2312"/>
                <w:sz w:val="21"/>
              </w:rPr>
              <w:t>语音：支持语音模块；</w:t>
            </w:r>
          </w:p>
          <w:p>
            <w:pPr>
              <w:pStyle w:val="null3"/>
              <w:jc w:val="both"/>
            </w:pPr>
            <w:r>
              <w:rPr>
                <w:rFonts w:ascii="仿宋_GB2312" w:hAnsi="仿宋_GB2312" w:cs="仿宋_GB2312" w:eastAsia="仿宋_GB2312"/>
                <w:sz w:val="21"/>
              </w:rPr>
              <w:t>26.</w:t>
            </w:r>
            <w:r>
              <w:rPr>
                <w:rFonts w:ascii="仿宋_GB2312" w:hAnsi="仿宋_GB2312" w:cs="仿宋_GB2312" w:eastAsia="仿宋_GB2312"/>
                <w:sz w:val="21"/>
              </w:rPr>
              <w:t>设备自带一年患者签名证书服务；</w:t>
            </w:r>
          </w:p>
          <w:p>
            <w:pPr>
              <w:pStyle w:val="null3"/>
              <w:jc w:val="both"/>
            </w:pPr>
            <w:r>
              <w:rPr>
                <w:rFonts w:ascii="仿宋_GB2312" w:hAnsi="仿宋_GB2312" w:cs="仿宋_GB2312" w:eastAsia="仿宋_GB2312"/>
                <w:sz w:val="21"/>
              </w:rPr>
              <w:t>27.▲</w:t>
            </w:r>
            <w:r>
              <w:rPr>
                <w:rFonts w:ascii="仿宋_GB2312" w:hAnsi="仿宋_GB2312" w:cs="仿宋_GB2312" w:eastAsia="仿宋_GB2312"/>
                <w:sz w:val="21"/>
              </w:rPr>
              <w:t>兼容我院现有手写信息数字签名系统。</w:t>
            </w:r>
          </w:p>
        </w:tc>
      </w:tr>
      <w:tr>
        <w:tc>
          <w:tcPr>
            <w:tcW w:type="dxa" w:w="2076"/>
          </w:tcPr>
          <w:p/>
        </w:tc>
        <w:tc>
          <w:tcPr>
            <w:tcW w:type="dxa" w:w="2076"/>
          </w:tcPr>
          <w:p>
            <w:pPr>
              <w:pStyle w:val="null3"/>
            </w:pPr>
            <w:r>
              <w:rPr>
                <w:rFonts w:ascii="仿宋_GB2312" w:hAnsi="仿宋_GB2312" w:cs="仿宋_GB2312" w:eastAsia="仿宋_GB2312"/>
              </w:rPr>
              <w:t>10</w:t>
            </w:r>
          </w:p>
        </w:tc>
        <w:tc>
          <w:tcPr>
            <w:tcW w:type="dxa" w:w="2076"/>
          </w:tcPr>
          <w:p>
            <w:pPr>
              <w:pStyle w:val="null3"/>
            </w:pPr>
            <w:r>
              <w:rPr>
                <w:rFonts w:ascii="仿宋_GB2312" w:hAnsi="仿宋_GB2312" w:cs="仿宋_GB2312" w:eastAsia="仿宋_GB2312"/>
              </w:rPr>
              <w:t>注释</w:t>
            </w:r>
          </w:p>
        </w:tc>
        <w:tc>
          <w:tcPr>
            <w:tcW w:type="dxa" w:w="2076"/>
          </w:tcPr>
          <w:p>
            <w:pPr>
              <w:pStyle w:val="null3"/>
              <w:jc w:val="both"/>
            </w:pPr>
            <w:r>
              <w:rPr>
                <w:rFonts w:ascii="仿宋_GB2312" w:hAnsi="仿宋_GB2312" w:cs="仿宋_GB2312" w:eastAsia="仿宋_GB2312"/>
                <w:sz w:val="20"/>
              </w:rPr>
              <w:t>1.</w:t>
            </w:r>
            <w:r>
              <w:rPr>
                <w:rFonts w:ascii="仿宋_GB2312" w:hAnsi="仿宋_GB2312" w:cs="仿宋_GB2312" w:eastAsia="仿宋_GB2312"/>
                <w:sz w:val="20"/>
              </w:rPr>
              <w:t>以上所有产品按需采购；</w:t>
            </w:r>
          </w:p>
          <w:p>
            <w:pPr>
              <w:pStyle w:val="null3"/>
              <w:jc w:val="both"/>
            </w:pPr>
            <w:r>
              <w:rPr>
                <w:rFonts w:ascii="仿宋_GB2312" w:hAnsi="仿宋_GB2312" w:cs="仿宋_GB2312" w:eastAsia="仿宋_GB2312"/>
                <w:sz w:val="20"/>
              </w:rPr>
              <w:t>2.</w:t>
            </w:r>
            <w:r>
              <w:rPr>
                <w:rFonts w:ascii="仿宋_GB2312" w:hAnsi="仿宋_GB2312" w:cs="仿宋_GB2312" w:eastAsia="仿宋_GB2312"/>
                <w:sz w:val="20"/>
              </w:rPr>
              <w:t>本项目所有的软硬件产品支持与国产系统的适配及兼容；所有软硬件均需本地化、私有化部署、多院区部署；提供满足合理需求所必要的系统改造；所投服务器均为同一品牌；</w:t>
            </w:r>
          </w:p>
          <w:p>
            <w:pPr>
              <w:pStyle w:val="null3"/>
              <w:jc w:val="both"/>
            </w:pPr>
            <w:r>
              <w:rPr>
                <w:rFonts w:ascii="仿宋_GB2312" w:hAnsi="仿宋_GB2312" w:cs="仿宋_GB2312" w:eastAsia="仿宋_GB2312"/>
                <w:sz w:val="20"/>
              </w:rPr>
              <w:t>3.“▲”</w:t>
            </w:r>
            <w:r>
              <w:rPr>
                <w:rFonts w:ascii="仿宋_GB2312" w:hAnsi="仿宋_GB2312" w:cs="仿宋_GB2312" w:eastAsia="仿宋_GB2312"/>
                <w:sz w:val="20"/>
              </w:rPr>
              <w:t>号条款均为重要的技术指标，需要提供佐证材料并加盖鲜章（包含但不限于系统截图、承诺函、操作说明书、技术白皮书等）；</w:t>
            </w:r>
          </w:p>
          <w:p>
            <w:pPr>
              <w:pStyle w:val="null3"/>
              <w:jc w:val="both"/>
            </w:pPr>
            <w:r>
              <w:rPr>
                <w:rFonts w:ascii="仿宋_GB2312" w:hAnsi="仿宋_GB2312" w:cs="仿宋_GB2312" w:eastAsia="仿宋_GB2312"/>
              </w:rPr>
              <w:t>4.系统报价填写为单行合计金额，具体单项报价在分项报价表中按格式填写相关明细，单项报价不得超过单项最高限价。</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以合同签订时约定的起止时间为准。服务期届满后，本合同自动终止；或在本合同期限内，甲方实际采购货物总金额已达合同总金额上限，或虽未达上限，但剩余未使用的合同金额低于货物单价的，则本合同自动终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西安市中医医院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合同签订后每半年为一个支付周期，每一支付周期届满后15个工作日内，采购人根据中标供应商所供设备实际验收合格的数量据实结算一次，供应商开具发票后,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标准：1.供应商保证所供软件及硬件应按国内外通行的现行标准相应的技术规范，以及质量、安全、环保标准和要求执行，这些标准和技术规范应为合同签订日为止最新公布发行的标准和技术规范。2.保证所供产品技术指标先进、质量性能可靠、配置合理、进货渠道正规，全面满足招标文件要求，无假货、水货或翻新货，并能按期交付。3.保证所供产品在装卸、运输和仓储过程中有足够的包装保护，防止产品受潮、锈蚀、遭受冲撞及其他不可预见的损坏。4.保证所供产品具有良好的外观，适合各种安装场所的使用要求，确保达到最佳运行状态。 验收方法：甲方根据需求向乙方下达采购订单，乙方根据甲方订单，向甲方提供满足技术要求的产品，并完成安装、调试等实施工作。在服务期内每半年进行一次验收，验收合格后，采购人向中标供应商出具验收单，中标供应商实际验收合格数量以验收单为准。</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质保期：自验收之日起,服务器终身质保，手写板（PC端＋移动端）质保三年，证书类质保1年。质保期内发生故障供应商应免费负责设备维修及抢修，0.5小时内作出维修方案，如电话跟采购人之间无法解决，供应商维修工程师在接到故障报告后2小时内达到采购人处进行现场修理和换件，相关费用由供应商承担。 2.质保期内免收其它系统与本系统的接口费，提供升级、功能完善、性能调优、技术咨询等服务，并负责与各系统及设备的适配，可配合我院完成关于网络安全等级保护要求的全部工作。 3.具备服务能力，有专业的技术工程师团队；提供完整的培训计划。 4.乙方所供产品因侵权而产生的一切后果由乙方负责，甲方保留索赔权力。</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 （2）违约终止合同：未按合同要求提供货物或质量不能满足技术要求，甲方会同监督机构有权终止合同，合同自乙方收到甲方的解除通知时自动解除。合同解除后，并按合同预算总价的30%支付违约金，还应赔偿甲方因此所造成的一切直接和间接损失。</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合同签订后每半年为一个支付周期，每一支付周期届满后15个工作日内，采购人根据中标供应商所供设备实际验收合格的数量据实结算一次，供应商开具发票后，采购人在30日内向供应商支付据实结算的款项，采购人实际采购最终结算总价不得超过合同约定总价。本次项目报各项产品单价，合同期内不受市场价格变化因素的影响，单价一次包死，单价包括接口费、税费、运杂费和其他费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1、法人或者其他组织、自然人的营业执照等证明文件：（1）供应商是企业（包括合伙企业）的，应提供其在市场监督管理部门注册的有效“营业执照 ”的复印件；（2）供应商是事业单位的，应提供其有效的“事业单位法人证书”复印件；（3）供应商是非企业专业服务机构的，应提供其有效的“执业许可证”复印件；（4）供应商是民办非企业单位的，应提供其有效的登记证书复印件；（5）供应商是个体工商户的，应提供其有效的“营业执照”复印件；（6）供应商是自然人的，应提供其有效的自然人身份证明复印件； 2、依法缴纳税收的相关材料：（1）供应商应提供响应截止时间前近十二个月中任何一个月缴纳增值税或企业所得税的凭证，时间以税款所属时期为准（银行出具的缴税凭证或税务机关出具的证明的复印件，并加盖本单位公章）。（2）供应商采用汇算清缴方式缴纳企业所得税的，应提供响应截止时间前近十二个月中任何一个月缴纳增值税和最近一期缴纳企业所得税的凭证，时间以税款所属时期为准（银行出具的缴税凭证或税务机关出具的证明的复印件，并加盖本单位公章）。（3）缴纳凭证复印件须清晰可辨，并能显示出供应商名称和所缴纳税种种类，单位代扣代缴的个人所得税不能作为单位纳税的凭证。（4）依法免税的供应商，应提供相应文件证明其依法免税； 3、具备履行合同所必需的设备和专业技术能力的承诺原件； 4、供应商参加政府采购活动前3年内在经营活动中没有重大违法记录的书面声明原件；5、依法缴纳社会保障资金的相关材料：（1）供应商应提供响应截止时间前近十二个月中至少一个月的缴纳社会保险的凭据（专用收据或社会保险缴纳清单），并加盖本单位公章。（2）凭证复印件须清晰可辨，并能显示出供应商名称和所缴纳的社保的种类。（3）依法不需要缴纳社会保障资金的，应提供相应文件说明其依法不需要缴纳的证明材料复印件，并加盖本单位公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1、提供2023年度或2024年度财务报表复印件，应满足以下要求： （1）供应商是企业的，财务报表（包含赋码的审计报告和审计报告中所涉及的财务报表和报表附注）是指经会计师事务所审计的上述指定年度整个会计年度财务报表（须提供会计师事务所出具的审计报告复印件）,复印件至少须包括审计意见正文、资产负债表、利润表（或损益表）、现金流量表。（2）供应商适用《事业单位会计准则》的，财务报表是指上述指定年度整个会计年度财务报表（不要求必须是经审计的），复印件至少须包括资产负债表、收入支出表（或收入费用表）、财政补助收入支出表。（3）供应商适用《政府会计准则》的，财务报表是指上述指定年度整个会计年度财务报表（不要求必须是经审计的），复印件至少须包括资产负债表、收入费用表。（4）供应商适用《民间非营利组织会计制度》的，财务报表是指上述指定年度整个会计年度财务报表（不要求必须是经审计的），复印件至少须包括资产负债表、业务活动表、现金流量表。（5）供应商是上述四种情况以外情况的，按照其依法适用的会计制度、财务规则或会计准则提供 财务报表复印件（不要求必须是经审计的）。 2、提供资信证明原件或复印件，应满足以下要求： （1）资信证明须为递交响应文件截止时间前三个月内由供应商开户银行出具。（2）无论开具银行是否标明“复印无效”，供应商提供的复印件在本次投标中予以认可（即不因“复印无效”字样而认定资信证明复印件无效）。（3）银行出具的存款证明不能替代银行资信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供应商不得存在下列情形之一： （1）单位负责人为同一人或者存在直接控股、管理关系的不同供应商，不得参加本次采购活动；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在递交投标文件截止时间前被“信用中国”网站（www.creditchina.gov.cn）和中国政府采购网（www.ccgp.gov.cn）上被列入失信被执行人、重大税收违法失信主体、政府采购严重违法失信行为记录名单的，不得参加投标；</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投标人参加本项目的合法授权人授权委托书</w:t>
            </w:r>
          </w:p>
        </w:tc>
        <w:tc>
          <w:tcPr>
            <w:tcW w:type="dxa" w:w="3322"/>
          </w:tcPr>
          <w:p>
            <w:pPr>
              <w:pStyle w:val="null3"/>
            </w:pPr>
            <w:r>
              <w:rPr>
                <w:rFonts w:ascii="仿宋_GB2312" w:hAnsi="仿宋_GB2312" w:cs="仿宋_GB2312" w:eastAsia="仿宋_GB2312"/>
              </w:rPr>
              <w:t>投标人参加本项目的合法授权人授权委托书；投标人应授权合法的人员参加投标全过程，其中法定代表人直接参加投标的，须出具法人身份证，并与营业执照上信息一致。法定代表人授权代表参加投标的，须出具法定代表人授权书及授权代表身份证、授权代表本单位证明（近三个月养老保险缴纳证明）；</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供应商不得存在下列情形之一</w:t>
            </w:r>
          </w:p>
        </w:tc>
        <w:tc>
          <w:tcPr>
            <w:tcW w:type="dxa" w:w="3322"/>
          </w:tcPr>
          <w:p>
            <w:pPr>
              <w:pStyle w:val="null3"/>
            </w:pPr>
            <w:r>
              <w:rPr>
                <w:rFonts w:ascii="仿宋_GB2312" w:hAnsi="仿宋_GB2312" w:cs="仿宋_GB2312" w:eastAsia="仿宋_GB2312"/>
              </w:rPr>
              <w:t>（1）单位负责人为同一人或者存在直接控股、管理关系的不同供应商，不得参加本次采购活动； （2）为本项目提供整体设计、规范编制或者项目管理、监理、检测等服务的供应商，不得再参加本项目的采购活动；</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其他要求</w:t>
            </w:r>
          </w:p>
        </w:tc>
        <w:tc>
          <w:tcPr>
            <w:tcW w:type="dxa" w:w="3322"/>
          </w:tcPr>
          <w:p>
            <w:pPr>
              <w:pStyle w:val="null3"/>
            </w:pPr>
            <w:r>
              <w:rPr>
                <w:rFonts w:ascii="仿宋_GB2312" w:hAnsi="仿宋_GB2312" w:cs="仿宋_GB2312" w:eastAsia="仿宋_GB2312"/>
              </w:rPr>
              <w:t>供应商非采购人单位职工及其亲属投资开办或控股的企业不存在利害关系及其他可能影响投标公正性的情形。</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投标文件未按招标文件要求签署、盖章的</w:t>
            </w:r>
          </w:p>
        </w:tc>
        <w:tc>
          <w:tcPr>
            <w:tcW w:type="dxa" w:w="1661"/>
          </w:tcPr>
          <w:p>
            <w:pPr>
              <w:pStyle w:val="null3"/>
            </w:pPr>
            <w:r>
              <w:rPr>
                <w:rFonts w:ascii="仿宋_GB2312" w:hAnsi="仿宋_GB2312" w:cs="仿宋_GB2312" w:eastAsia="仿宋_GB2312"/>
              </w:rPr>
              <w:t>开标一览表 投标方案 中小企业声明函 节能产品、环境标志产品明细表 资格证明文件 产品技术参数表 投标人参加政府采购活动承诺书 投标函 残疾人福利性单位声明函 投标分项报价表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投标报价</w:t>
            </w:r>
          </w:p>
        </w:tc>
        <w:tc>
          <w:tcPr>
            <w:tcW w:type="dxa" w:w="3322"/>
          </w:tcPr>
          <w:p>
            <w:pPr>
              <w:pStyle w:val="null3"/>
            </w:pPr>
            <w:r>
              <w:rPr>
                <w:rFonts w:ascii="仿宋_GB2312" w:hAnsi="仿宋_GB2312" w:cs="仿宋_GB2312" w:eastAsia="仿宋_GB2312"/>
              </w:rPr>
              <w:t>投标人投标报价超出采购预算或最高限价的</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报价合理性</w:t>
            </w:r>
          </w:p>
        </w:tc>
        <w:tc>
          <w:tcPr>
            <w:tcW w:type="dxa" w:w="3322"/>
          </w:tcPr>
          <w:p>
            <w:pPr>
              <w:pStyle w:val="null3"/>
            </w:pPr>
            <w:r>
              <w:rPr>
                <w:rFonts w:ascii="仿宋_GB2312" w:hAnsi="仿宋_GB2312" w:cs="仿宋_GB2312" w:eastAsia="仿宋_GB2312"/>
              </w:rPr>
              <w:t>投标人的报价明显低于其他通过符合性审查投标人的报价，有可能影响产品质量或者不能诚信履约的，且投标人不能证明其报价合理性的</w:t>
            </w:r>
          </w:p>
        </w:tc>
        <w:tc>
          <w:tcPr>
            <w:tcW w:type="dxa" w:w="1661"/>
          </w:tcPr>
          <w:p>
            <w:pPr>
              <w:pStyle w:val="null3"/>
            </w:pPr>
            <w:r>
              <w:rPr>
                <w:rFonts w:ascii="仿宋_GB2312" w:hAnsi="仿宋_GB2312" w:cs="仿宋_GB2312" w:eastAsia="仿宋_GB2312"/>
              </w:rPr>
              <w:t>开标一览表 投标分项报价表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w:t>
            </w:r>
          </w:p>
        </w:tc>
        <w:tc>
          <w:tcPr>
            <w:tcW w:type="dxa" w:w="3322"/>
          </w:tcPr>
          <w:p>
            <w:pPr>
              <w:pStyle w:val="null3"/>
            </w:pPr>
            <w:r>
              <w:rPr>
                <w:rFonts w:ascii="仿宋_GB2312" w:hAnsi="仿宋_GB2312" w:cs="仿宋_GB2312" w:eastAsia="仿宋_GB2312"/>
              </w:rPr>
              <w:t>投标内容出现漏项或数量与要求不符或投标内容的技术指标达不到招标文件要求，造成采购档次降低或影响采购性能、功能</w:t>
            </w:r>
          </w:p>
        </w:tc>
        <w:tc>
          <w:tcPr>
            <w:tcW w:type="dxa" w:w="1661"/>
          </w:tcPr>
          <w:p>
            <w:pPr>
              <w:pStyle w:val="null3"/>
            </w:pPr>
            <w:r>
              <w:rPr>
                <w:rFonts w:ascii="仿宋_GB2312" w:hAnsi="仿宋_GB2312" w:cs="仿宋_GB2312" w:eastAsia="仿宋_GB2312"/>
              </w:rPr>
              <w:t>开标一览表 产品技术参数表 投标方案 投标分项报价表 标的清单 投标文件封面</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其它情形</w:t>
            </w:r>
          </w:p>
        </w:tc>
        <w:tc>
          <w:tcPr>
            <w:tcW w:type="dxa" w:w="3322"/>
          </w:tcPr>
          <w:p>
            <w:pPr>
              <w:pStyle w:val="null3"/>
            </w:pPr>
            <w:r>
              <w:rPr>
                <w:rFonts w:ascii="仿宋_GB2312" w:hAnsi="仿宋_GB2312" w:cs="仿宋_GB2312" w:eastAsia="仿宋_GB2312"/>
              </w:rPr>
              <w:t>存在其它不符合法律法规或招标文件规定的投标无效条款</w:t>
            </w:r>
          </w:p>
        </w:tc>
        <w:tc>
          <w:tcPr>
            <w:tcW w:type="dxa" w:w="1661"/>
          </w:tcPr>
          <w:p>
            <w:pPr>
              <w:pStyle w:val="null3"/>
            </w:pPr>
            <w:r>
              <w:rPr>
                <w:rFonts w:ascii="仿宋_GB2312" w:hAnsi="仿宋_GB2312" w:cs="仿宋_GB2312" w:eastAsia="仿宋_GB2312"/>
              </w:rPr>
              <w:t>开标一览表 投标方案 中小企业声明函 节能产品、环境标志产品明细表 资格证明文件 产品技术参数表 投标人参加政府采购活动承诺书 投标函 残疾人福利性单位声明函 投标分项报价表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详细评审70.0000分</w:t>
            </w:r>
          </w:p>
          <w:p>
            <w:pPr>
              <w:pStyle w:val="null3"/>
            </w:pPr>
            <w:r>
              <w:rPr>
                <w:rFonts w:ascii="仿宋_GB2312" w:hAnsi="仿宋_GB2312" w:cs="仿宋_GB2312" w:eastAsia="仿宋_GB2312"/>
              </w:rPr>
              <w:t>报价得分30.0000分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节能、环境标志产品评审</w:t>
            </w:r>
          </w:p>
        </w:tc>
        <w:tc>
          <w:tcPr>
            <w:tcW w:type="dxa" w:w="2492"/>
          </w:tcPr>
          <w:p>
            <w:pPr>
              <w:pStyle w:val="null3"/>
            </w:pPr>
            <w:r>
              <w:rPr>
                <w:rFonts w:ascii="仿宋_GB2312" w:hAnsi="仿宋_GB2312" w:cs="仿宋_GB2312" w:eastAsia="仿宋_GB2312"/>
              </w:rPr>
              <w:t>投标人所投产品含有属于政府优先采购产品类别的产品，须按照《财政部 发展改革委 生态环境部 市场监管总局关于调整优化节能产品、环境标志产品政府采购执行机制的通知》（财库〔2019〕9 号）、《关于印发节能产品政府采购品目清单的通知》（财库〔2019〕19 号）、《关于印发环境标志产品政府采购品目清单的通知》（财库〔2019〕18 号）、《市场监管总局关于发布参与实施政府采购节能产品、环境标志产品认证机构名录的公告》（2019 年第 16 号）要求提供国家确定的认证机构出具的、处于有效期之内的节能产品或环境标志产品认证证书，每提供一个得1分，满分1分。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节能产品、环境标志产品明细表</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电子签名合规性</w:t>
            </w:r>
          </w:p>
        </w:tc>
        <w:tc>
          <w:tcPr>
            <w:tcW w:type="dxa" w:w="2492"/>
          </w:tcPr>
          <w:p>
            <w:pPr>
              <w:pStyle w:val="null3"/>
            </w:pPr>
            <w:r>
              <w:rPr>
                <w:rFonts w:ascii="仿宋_GB2312" w:hAnsi="仿宋_GB2312" w:cs="仿宋_GB2312" w:eastAsia="仿宋_GB2312"/>
              </w:rPr>
              <w:t>1.产品具备相关权威电子数据司法鉴定中心提供的司法鉴定服务声明函，提供声明函证明文件，每提供1个得2分，最高得6分，未提供不得分。 2.CA原厂商直接参与电子认证服务体系技术规范制定（提供证明材料）得2分，未提供不得分。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证书</w:t>
            </w:r>
          </w:p>
        </w:tc>
        <w:tc>
          <w:tcPr>
            <w:tcW w:type="dxa" w:w="2492"/>
          </w:tcPr>
          <w:p>
            <w:pPr>
              <w:pStyle w:val="null3"/>
            </w:pPr>
            <w:r>
              <w:rPr>
                <w:rFonts w:ascii="仿宋_GB2312" w:hAnsi="仿宋_GB2312" w:cs="仿宋_GB2312" w:eastAsia="仿宋_GB2312"/>
              </w:rPr>
              <w:t>1.所投产品具有与数字签名系统相关的软件开发著作权登记证书，提供证书复印件并加盖公章得1分，未提供不得分。 2. 投标人具有ISO/IEC27001信息安全管理体系认证证书，提供证书复印件并加盖公章得1分，未提供不得分。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产品质量保证</w:t>
            </w:r>
          </w:p>
        </w:tc>
        <w:tc>
          <w:tcPr>
            <w:tcW w:type="dxa" w:w="2492"/>
          </w:tcPr>
          <w:p>
            <w:pPr>
              <w:pStyle w:val="null3"/>
            </w:pPr>
            <w:r>
              <w:rPr>
                <w:rFonts w:ascii="仿宋_GB2312" w:hAnsi="仿宋_GB2312" w:cs="仿宋_GB2312" w:eastAsia="仿宋_GB2312"/>
              </w:rPr>
              <w:t>产品质量保证情况，下面的每项分值为每个评审因素符合要求情况下的得分，不符合不得分。 1.签名验签服务器、时间戳服务器具有①信息技术产品安全测试证书、②公安部检验检测报告、③商用密码产品认证证书，提供复印件加盖公章，得6分，缺一项扣1分。 2.时间戳服务器具有《中国科学院国家授时中心检测证书》，提供复印件加盖公章得2分，未提供不得分。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由评审小组根据招标文件的技术要求，对投标人的技术响应进行评审，完全符合招标文件要求，没有负偏离计26分，“▲”号条款均为重要的技术指标，需要提供佐证材料并加盖鲜章（包含但不限于系统截图、承诺函、操作说明书、技术白皮书等），“▲”号条款负偏离一项扣1分，非“▲”号条款负偏离一项扣0.5分，扣完为止。</w:t>
            </w:r>
          </w:p>
        </w:tc>
        <w:tc>
          <w:tcPr>
            <w:tcW w:type="dxa" w:w="831"/>
          </w:tcPr>
          <w:p>
            <w:pPr>
              <w:pStyle w:val="null3"/>
              <w:jc w:val="right"/>
            </w:pPr>
            <w:r>
              <w:rPr>
                <w:rFonts w:ascii="仿宋_GB2312" w:hAnsi="仿宋_GB2312" w:cs="仿宋_GB2312" w:eastAsia="仿宋_GB2312"/>
              </w:rPr>
              <w:t>26.0000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技术方案</w:t>
            </w:r>
          </w:p>
        </w:tc>
        <w:tc>
          <w:tcPr>
            <w:tcW w:type="dxa" w:w="2492"/>
          </w:tcPr>
          <w:p>
            <w:pPr>
              <w:pStyle w:val="null3"/>
            </w:pPr>
            <w:r>
              <w:rPr>
                <w:rFonts w:ascii="仿宋_GB2312" w:hAnsi="仿宋_GB2312" w:cs="仿宋_GB2312" w:eastAsia="仿宋_GB2312"/>
              </w:rPr>
              <w:t>一、评审内容 根据投标人提供的①服务模式、②服务流程设计、③产品应急方案进行评审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三、赋分标准（满分6分） ①服务模式每完全满足一项评审标准得0.5分，满分2分 ②服务流程设计的合理性每完全满足一项评审标准得0.5分，满分2分 ③产品应急方案的合理性、全面性和实用性每完全满足一项评审标准得0.5分，满分2分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一、评审内容 根据投标人提供的实施方案的合理性，包括实施①总体规划、②实施步骤、③项目管理制度、④质量保证体制、⑤风险预见与控制能力，根据实施方案响应情况进行评审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三、赋分标准（满分6分） ①总体规划每完全满足一项评审标准得0.3分，满分1.2分 ②实施步骤每完全满足一项评审标准得0.3分，满分1.2分 ③项目管理制度每完全满足一项评审标准得0.3分，满分1.2分 ④质量保证体制每完全满足一项评审标准得0.3分，满分1.2分 ⑤风险预见与控制能力每完全满足一项评审标准得0.3分，满分1.2分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提供2022年1月1日以来所投产品同类项目业绩，每提供一份得2分，最多得6分（以完整的合同及验收资料作为业绩依据）。</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一、评审内容 投标人提供针对本项目的售后服务，方案内容包含：①售后服务承诺、②故障响应时间响应方式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三、赋分标准（满分4分） ①售后服务承诺每完全满足一项评审标准得0.5分，满分2分 ②故障响应时间、响应方式每完全满足一项评审标准得0.5分，满分2分；不提供不得分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一、评审内容 投标人提供针对本项目的培训方案，方案内容包含：①针对该项目有详尽培训服务承诺；②培训计划；③培训服务措施； 二、评审标准 1、完整性：方案须详细全面，表述清晰完整； 2、可实施性：切合本项目实际情况，实施步骤清晰、合理； 3、针对性：方案能够紧扣项目实际情况，内容科学合理。 4、合理性：方案是否符合逻辑且经得起推敲，各项内容之间不出现自相矛盾的情况； 三、赋分标准（满分3分） ①针对该项目有详尽培训服务承诺，每完全满足一项评审标准得0.25分，满分1分； ②培训计划，每完全满足一项评审标准得0.25分，满分1分； ③培训服务措施，每完全满足一项评审标准得0.25分，满分1分；不提供不得分；不提供不得分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有效供应商该项产品最低报价作为基准价，各供应商的报价得分按下列公式计算:①签名验签服务器、时间戳服务器、证书管理服务器:(基准价之和/投标报价之和)x35%X30; ②个人数字证书、USBkey证书存储介质:(基准价之和/投标报价之和)X5%X30; ③设备数字证书、患者签名手写板、移动端患者签名手写板:(基准价之和/投标报价之和)X60%X30；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投标分项报价表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10.0000%</w:t>
            </w:r>
          </w:p>
        </w:tc>
        <w:tc>
          <w:tcPr>
            <w:tcW w:type="dxa" w:w="1661"/>
          </w:tcPr>
          <w:p>
            <w:pPr>
              <w:pStyle w:val="null3"/>
            </w:pPr>
            <w:r>
              <w:rPr>
                <w:rFonts w:ascii="仿宋_GB2312" w:hAnsi="仿宋_GB2312" w:cs="仿宋_GB2312" w:eastAsia="仿宋_GB2312"/>
              </w:rPr>
              <w:t>根据《关于进一步加大政府采购支持中小企业力度的通知》（财库〔2022〕19号）、《政府采购促进中小企业发展管理办法》（财库〔2020〕46号）、《财政部 司法部关于政府采购支持监狱企业发展有关问题的通知》（财库〔2014〕68号）和《三部门联合发布关于促进残疾人就业政府采购政策的通知》（财库〔2017〕141号）的规定，对满足价格扣除条件且在投标文件中提交了《投标人企业类型声明函》、《残疾人福利性单位声明函》或省级以上监狱管理局、戒毒管理局（含新疆生产建设兵团）出具的属于监狱企业的证明文件的投标人，其投标报价扣除 10% 后参与评审。对于同时属于小微企业、监狱企业或残疾人福利性单位的，不重复进行投标报价扣除。</w:t>
            </w:r>
          </w:p>
        </w:tc>
        <w:tc>
          <w:tcPr>
            <w:tcW w:type="dxa" w:w="1661"/>
          </w:tcPr>
          <w:p>
            <w:pPr>
              <w:pStyle w:val="null3"/>
            </w:pPr>
            <w:r>
              <w:rPr>
                <w:rFonts w:ascii="仿宋_GB2312" w:hAnsi="仿宋_GB2312" w:cs="仿宋_GB2312" w:eastAsia="仿宋_GB2312"/>
              </w:rPr>
              <w:t>开标一览表 中小企业声明函 残疾人福利性单位声明函 投标分项报价表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详见附件：投标分项报价表</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详见附件：节能产品、环境标志产品明细表</w:t>
      </w:r>
    </w:p>
    <w:p>
      <w:pPr>
        <w:pStyle w:val="null3"/>
        <w:ind w:firstLine="960"/>
      </w:pPr>
      <w:r>
        <w:rPr>
          <w:rFonts w:ascii="仿宋_GB2312" w:hAnsi="仿宋_GB2312" w:cs="仿宋_GB2312" w:eastAsia="仿宋_GB2312"/>
        </w:rPr>
        <w:t>详见附件：投标人参加政府采购活动承诺书</w:t>
      </w:r>
    </w:p>
    <w:p>
      <w:pPr>
        <w:pStyle w:val="null3"/>
        <w:ind w:firstLine="960"/>
      </w:pPr>
      <w:r>
        <w:rPr>
          <w:rFonts w:ascii="仿宋_GB2312" w:hAnsi="仿宋_GB2312" w:cs="仿宋_GB2312" w:eastAsia="仿宋_GB2312"/>
        </w:rPr>
        <w:t>详见附件：投标方案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详见附件：供货合同.docx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