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版本号：YSGS-2025ZB041620250423001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全市河流跨河桥梁现状调查项目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YSGS-2025ZB0416</w:t>
      </w:r>
      <w:r>
        <w:br/>
      </w:r>
      <w:r>
        <w:br/>
      </w:r>
      <w:r>
        <w:br/>
      </w:r>
    </w:p>
    <w:p>
      <w:pPr>
        <w:pStyle w:val="null3"/>
        <w:jc w:val="center"/>
        <w:outlineLvl w:val="2"/>
      </w:pPr>
      <w:r>
        <w:rPr>
          <w:rFonts w:ascii="仿宋_GB2312" w:hAnsi="仿宋_GB2312" w:cs="仿宋_GB2312" w:eastAsia="仿宋_GB2312"/>
          <w:sz w:val="28"/>
          <w:b/>
        </w:rPr>
        <w:t>西安市水务局（本级）</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西安市水务局（本级）</w:t>
      </w:r>
      <w:r>
        <w:rPr>
          <w:rFonts w:ascii="仿宋_GB2312" w:hAnsi="仿宋_GB2312" w:cs="仿宋_GB2312" w:eastAsia="仿宋_GB2312"/>
        </w:rPr>
        <w:t>委托，拟对</w:t>
      </w:r>
      <w:r>
        <w:rPr>
          <w:rFonts w:ascii="仿宋_GB2312" w:hAnsi="仿宋_GB2312" w:cs="仿宋_GB2312" w:eastAsia="仿宋_GB2312"/>
        </w:rPr>
        <w:t>全市河流跨河桥梁现状调查项目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YSGS-2025ZB0416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全市河流跨河桥梁现状调查项目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对全市渭河、泾河、浐河、灞河、潏河、滈河、沣河、涝河、黑河、皂河等重要河流干流跨河桥梁进行全面调查，摸清涉河桥梁基本情况，分类分年度形成调查报告。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采购包1（全市河流跨河桥梁现状调查项目）：属于专门面向中小企业采购。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提供2023年度或2024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3、纳税证明或完税证明：提供投标截止之日前近六个月内至少一个月的纳税证明或完税证明（增值税，印花税，城市维护建设费，企业所得税等一种或多种税种），依法免税的单位应提供相关证明材料；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4、社会保障资金缴存证明：提供投标截止之日前近六个月内至少一个月的社会保障资金缴存单据或社保机构开具的社会保险参保缴费情况证明，依法不需要缴纳社会保障资金的单位应提供相关证明材料；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5、设备及专业技术能力的声明：提供具有履行本合同所必需的设备和专业技术能力的声明；</w:t>
      </w:r>
    </w:p>
    <w:p>
      <w:pPr>
        <w:pStyle w:val="null3"/>
      </w:pPr>
      <w:r>
        <w:rPr>
          <w:rFonts w:ascii="仿宋_GB2312" w:hAnsi="仿宋_GB2312" w:cs="仿宋_GB2312" w:eastAsia="仿宋_GB2312"/>
        </w:rPr>
        <w:t>6、3年内在经营活动中没有重大违法记录的书面声明：出具参加政府采购活动前3年内在经营活动中没有重大违法记录的书面声明；</w:t>
      </w:r>
    </w:p>
    <w:p>
      <w:pPr>
        <w:pStyle w:val="null3"/>
      </w:pPr>
      <w:r>
        <w:rPr>
          <w:rFonts w:ascii="仿宋_GB2312" w:hAnsi="仿宋_GB2312" w:cs="仿宋_GB2312" w:eastAsia="仿宋_GB2312"/>
        </w:rPr>
        <w:t>7、授权委托书：被授权人参与磋商的需提供法定代表人身份证明书及授权委托书；法定代表人或负责人直接参与磋商的，须出具法定代表人身份证明书；</w:t>
      </w:r>
    </w:p>
    <w:p>
      <w:pPr>
        <w:pStyle w:val="null3"/>
      </w:pPr>
      <w:r>
        <w:rPr>
          <w:rFonts w:ascii="仿宋_GB2312" w:hAnsi="仿宋_GB2312" w:cs="仿宋_GB2312" w:eastAsia="仿宋_GB2312"/>
        </w:rPr>
        <w:t>8、供应商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w:t>
      </w:r>
    </w:p>
    <w:p>
      <w:pPr>
        <w:pStyle w:val="null3"/>
      </w:pPr>
      <w:r>
        <w:rPr>
          <w:rFonts w:ascii="仿宋_GB2312" w:hAnsi="仿宋_GB2312" w:cs="仿宋_GB2312" w:eastAsia="仿宋_GB2312"/>
        </w:rPr>
        <w:t>9、联合体投标：本项目不接受联合体磋商。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张荔娟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029-86787439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白琪琪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029-68325822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委托人与受托人约定：中标（成交）服务费参照《国家计委关于印发&lt;招标代理服务收费管理暂行办法&gt;的通知》（计价格【2002】1980号）及《国家发展和改革委员会办公厅关于招标代理服务收费有关问题的通知》（发改办价格〔2003〕857号）文件中服务类收费标准收取，由中标（成交）供应商向受托人支付。中标（成交）供应商在领取中标通知书前，须向采购代理机构一次性支付代理服务费。 户名：陕西衍森项目管理有限公司 开户行：平安银行西安分行营业部 账号：15122099180091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西安市水务局（本级）</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联系人：白琪琪、张乐</w:t>
      </w:r>
    </w:p>
    <w:p>
      <w:pPr>
        <w:pStyle w:val="null3"/>
      </w:pPr>
      <w:r>
        <w:rPr>
          <w:rFonts w:ascii="仿宋_GB2312" w:hAnsi="仿宋_GB2312" w:cs="仿宋_GB2312" w:eastAsia="仿宋_GB2312"/>
        </w:rPr>
        <w:t>联系电话：029-68325822</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对全市渭河、泾河、浐河、灞河、潏河、滈河、沣河、涝河、黑河、皂河等重要河流干流跨河桥梁进行全面调查，摸清涉河桥梁基本情况，分类分年度形成调查报告。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全市河流跨河桥梁现状调查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标的名称：全市河流跨河桥梁现状调查</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服务内容及要求</w:t>
            </w:r>
          </w:p>
        </w:tc>
        <w:tc>
          <w:tcPr>
            <w:tcW w:type="dxa" w:w="2076"/>
          </w:tcPr>
          <w:p>
            <w:pPr>
              <w:pStyle w:val="null3"/>
              <w:ind w:firstLine="640"/>
              <w:jc w:val="both"/>
            </w:pPr>
            <w:r>
              <w:rPr>
                <w:rFonts w:ascii="仿宋_GB2312" w:hAnsi="仿宋_GB2312" w:cs="仿宋_GB2312" w:eastAsia="仿宋_GB2312"/>
                <w:sz w:val="32"/>
              </w:rPr>
              <w:t>一、项目目标</w:t>
            </w:r>
            <w:r>
              <w:rPr>
                <w:rFonts w:ascii="仿宋_GB2312" w:hAnsi="仿宋_GB2312" w:cs="仿宋_GB2312" w:eastAsia="仿宋_GB2312"/>
                <w:sz w:val="32"/>
              </w:rPr>
              <w:t>：</w:t>
            </w:r>
            <w:r>
              <w:rPr>
                <w:rFonts w:ascii="仿宋_GB2312" w:hAnsi="仿宋_GB2312" w:cs="仿宋_GB2312" w:eastAsia="仿宋_GB2312"/>
                <w:sz w:val="32"/>
              </w:rPr>
              <w:t>摸清全市重点河流跨河桥梁基本情况，建立动态管理清单，加强涉河桥梁防洪安管管理</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二、项目服务期</w:t>
            </w:r>
            <w:r>
              <w:rPr>
                <w:rFonts w:ascii="仿宋_GB2312" w:hAnsi="仿宋_GB2312" w:cs="仿宋_GB2312" w:eastAsia="仿宋_GB2312"/>
                <w:sz w:val="32"/>
              </w:rPr>
              <w:t>：</w:t>
            </w:r>
            <w:r>
              <w:rPr>
                <w:rFonts w:ascii="仿宋_GB2312" w:hAnsi="仿宋_GB2312" w:cs="仿宋_GB2312" w:eastAsia="仿宋_GB2312"/>
                <w:sz w:val="32"/>
              </w:rPr>
              <w:t>自合同签订后</w:t>
            </w:r>
            <w:r>
              <w:rPr>
                <w:rFonts w:ascii="仿宋_GB2312" w:hAnsi="仿宋_GB2312" w:cs="仿宋_GB2312" w:eastAsia="仿宋_GB2312"/>
                <w:sz w:val="32"/>
              </w:rPr>
              <w:t>6</w:t>
            </w:r>
            <w:r>
              <w:rPr>
                <w:rFonts w:ascii="仿宋_GB2312" w:hAnsi="仿宋_GB2312" w:cs="仿宋_GB2312" w:eastAsia="仿宋_GB2312"/>
                <w:sz w:val="32"/>
              </w:rPr>
              <w:t>个月内提交成果报告。</w:t>
            </w:r>
          </w:p>
          <w:p>
            <w:pPr>
              <w:pStyle w:val="null3"/>
              <w:ind w:firstLine="640"/>
              <w:jc w:val="both"/>
            </w:pPr>
            <w:r>
              <w:rPr>
                <w:rFonts w:ascii="仿宋_GB2312" w:hAnsi="仿宋_GB2312" w:cs="仿宋_GB2312" w:eastAsia="仿宋_GB2312"/>
                <w:sz w:val="32"/>
              </w:rPr>
              <w:t>三、项目概况</w:t>
            </w:r>
            <w:r>
              <w:rPr>
                <w:rFonts w:ascii="仿宋_GB2312" w:hAnsi="仿宋_GB2312" w:cs="仿宋_GB2312" w:eastAsia="仿宋_GB2312"/>
                <w:sz w:val="32"/>
              </w:rPr>
              <w:t>：对全市</w:t>
            </w:r>
            <w:r>
              <w:rPr>
                <w:rFonts w:ascii="仿宋_GB2312" w:hAnsi="仿宋_GB2312" w:cs="仿宋_GB2312" w:eastAsia="仿宋_GB2312"/>
                <w:sz w:val="32"/>
              </w:rPr>
              <w:t>渭河、泾河、浐河、灞河、潏河、滈河、沣河、涝河、黑河</w:t>
            </w:r>
            <w:r>
              <w:rPr>
                <w:rFonts w:ascii="仿宋_GB2312" w:hAnsi="仿宋_GB2312" w:cs="仿宋_GB2312" w:eastAsia="仿宋_GB2312"/>
                <w:sz w:val="32"/>
              </w:rPr>
              <w:t>、</w:t>
            </w:r>
            <w:r>
              <w:rPr>
                <w:rFonts w:ascii="仿宋_GB2312" w:hAnsi="仿宋_GB2312" w:cs="仿宋_GB2312" w:eastAsia="仿宋_GB2312"/>
                <w:sz w:val="32"/>
              </w:rPr>
              <w:t>皂河</w:t>
            </w:r>
            <w:r>
              <w:rPr>
                <w:rFonts w:ascii="仿宋_GB2312" w:hAnsi="仿宋_GB2312" w:cs="仿宋_GB2312" w:eastAsia="仿宋_GB2312"/>
                <w:sz w:val="32"/>
              </w:rPr>
              <w:t>等</w:t>
            </w:r>
            <w:r>
              <w:rPr>
                <w:rFonts w:ascii="仿宋_GB2312" w:hAnsi="仿宋_GB2312" w:cs="仿宋_GB2312" w:eastAsia="仿宋_GB2312"/>
                <w:sz w:val="32"/>
              </w:rPr>
              <w:t>重要河流</w:t>
            </w:r>
            <w:r>
              <w:rPr>
                <w:rFonts w:ascii="仿宋_GB2312" w:hAnsi="仿宋_GB2312" w:cs="仿宋_GB2312" w:eastAsia="仿宋_GB2312"/>
                <w:sz w:val="32"/>
              </w:rPr>
              <w:t>干流</w:t>
            </w:r>
            <w:r>
              <w:rPr>
                <w:rFonts w:ascii="仿宋_GB2312" w:hAnsi="仿宋_GB2312" w:cs="仿宋_GB2312" w:eastAsia="仿宋_GB2312"/>
                <w:sz w:val="32"/>
              </w:rPr>
              <w:t>跨河桥梁进行全面调查，摸清涉河桥梁基本情况，分类分年度形成调查报告。</w:t>
            </w:r>
          </w:p>
          <w:p>
            <w:pPr>
              <w:pStyle w:val="null3"/>
              <w:ind w:firstLine="640"/>
              <w:jc w:val="both"/>
            </w:pPr>
            <w:r>
              <w:rPr>
                <w:rFonts w:ascii="仿宋_GB2312" w:hAnsi="仿宋_GB2312" w:cs="仿宋_GB2312" w:eastAsia="仿宋_GB2312"/>
                <w:sz w:val="32"/>
              </w:rPr>
              <w:t>四、调查需求</w:t>
            </w:r>
            <w:r>
              <w:rPr>
                <w:rFonts w:ascii="仿宋_GB2312" w:hAnsi="仿宋_GB2312" w:cs="仿宋_GB2312" w:eastAsia="仿宋_GB2312"/>
                <w:sz w:val="32"/>
              </w:rPr>
              <w:t>：</w:t>
            </w:r>
            <w:r>
              <w:rPr>
                <w:rFonts w:ascii="仿宋_GB2312" w:hAnsi="仿宋_GB2312" w:cs="仿宋_GB2312" w:eastAsia="仿宋_GB2312"/>
                <w:sz w:val="32"/>
              </w:rPr>
              <w:t>跨河桥梁现状调查</w:t>
            </w:r>
            <w:r>
              <w:rPr>
                <w:rFonts w:ascii="仿宋_GB2312" w:hAnsi="仿宋_GB2312" w:cs="仿宋_GB2312" w:eastAsia="仿宋_GB2312"/>
                <w:sz w:val="32"/>
              </w:rPr>
              <w:t>原则上以整条河流为单元，</w:t>
            </w:r>
            <w:r>
              <w:rPr>
                <w:rFonts w:ascii="仿宋_GB2312" w:hAnsi="仿宋_GB2312" w:cs="仿宋_GB2312" w:eastAsia="仿宋_GB2312"/>
                <w:sz w:val="32"/>
              </w:rPr>
              <w:t>通</w:t>
            </w:r>
            <w:r>
              <w:rPr>
                <w:rFonts w:ascii="仿宋_GB2312" w:hAnsi="仿宋_GB2312" w:cs="仿宋_GB2312" w:eastAsia="仿宋_GB2312"/>
                <w:sz w:val="32"/>
              </w:rPr>
              <w:t>过</w:t>
            </w:r>
            <w:r>
              <w:rPr>
                <w:rFonts w:ascii="仿宋_GB2312" w:hAnsi="仿宋_GB2312" w:cs="仿宋_GB2312" w:eastAsia="仿宋_GB2312"/>
                <w:sz w:val="32"/>
              </w:rPr>
              <w:t>部门座谈、</w:t>
            </w:r>
            <w:r>
              <w:rPr>
                <w:rFonts w:ascii="仿宋_GB2312" w:hAnsi="仿宋_GB2312" w:cs="仿宋_GB2312" w:eastAsia="仿宋_GB2312"/>
                <w:sz w:val="32"/>
              </w:rPr>
              <w:t>现场测量、调查走访、留存影像等形式，</w:t>
            </w:r>
            <w:r>
              <w:rPr>
                <w:rFonts w:ascii="仿宋_GB2312" w:hAnsi="仿宋_GB2312" w:cs="仿宋_GB2312" w:eastAsia="仿宋_GB2312"/>
                <w:sz w:val="32"/>
              </w:rPr>
              <w:t>对重点河流平原段跨河桥梁</w:t>
            </w:r>
            <w:r>
              <w:rPr>
                <w:rFonts w:ascii="仿宋_GB2312" w:hAnsi="仿宋_GB2312" w:cs="仿宋_GB2312" w:eastAsia="仿宋_GB2312"/>
                <w:sz w:val="32"/>
              </w:rPr>
              <w:t>型式、分类</w:t>
            </w:r>
            <w:r>
              <w:rPr>
                <w:rFonts w:ascii="仿宋_GB2312" w:hAnsi="仿宋_GB2312" w:cs="仿宋_GB2312" w:eastAsia="仿宋_GB2312"/>
                <w:sz w:val="32"/>
              </w:rPr>
              <w:t>、</w:t>
            </w:r>
            <w:r>
              <w:rPr>
                <w:rFonts w:ascii="仿宋_GB2312" w:hAnsi="仿宋_GB2312" w:cs="仿宋_GB2312" w:eastAsia="仿宋_GB2312"/>
                <w:sz w:val="32"/>
              </w:rPr>
              <w:t>所在位置、修建</w:t>
            </w:r>
            <w:r>
              <w:rPr>
                <w:rFonts w:ascii="仿宋_GB2312" w:hAnsi="仿宋_GB2312" w:cs="仿宋_GB2312" w:eastAsia="仿宋_GB2312"/>
                <w:sz w:val="32"/>
              </w:rPr>
              <w:t>年度、</w:t>
            </w:r>
            <w:r>
              <w:rPr>
                <w:rFonts w:ascii="仿宋_GB2312" w:hAnsi="仿宋_GB2312" w:cs="仿宋_GB2312" w:eastAsia="仿宋_GB2312"/>
                <w:sz w:val="32"/>
              </w:rPr>
              <w:t>所在道路名称和级别、桥涵尺寸和高程、</w:t>
            </w:r>
            <w:r>
              <w:rPr>
                <w:rFonts w:ascii="仿宋_GB2312" w:hAnsi="仿宋_GB2312" w:cs="仿宋_GB2312" w:eastAsia="仿宋_GB2312"/>
                <w:sz w:val="32"/>
              </w:rPr>
              <w:t>管养单位</w:t>
            </w:r>
            <w:r>
              <w:rPr>
                <w:rFonts w:ascii="仿宋_GB2312" w:hAnsi="仿宋_GB2312" w:cs="仿宋_GB2312" w:eastAsia="仿宋_GB2312"/>
                <w:sz w:val="32"/>
              </w:rPr>
              <w:t>及</w:t>
            </w:r>
            <w:r>
              <w:rPr>
                <w:rFonts w:ascii="仿宋_GB2312" w:hAnsi="仿宋_GB2312" w:cs="仿宋_GB2312" w:eastAsia="仿宋_GB2312"/>
                <w:sz w:val="32"/>
              </w:rPr>
              <w:t>运行状况、</w:t>
            </w:r>
            <w:r>
              <w:rPr>
                <w:rFonts w:ascii="仿宋_GB2312" w:hAnsi="仿宋_GB2312" w:cs="仿宋_GB2312" w:eastAsia="仿宋_GB2312"/>
                <w:sz w:val="32"/>
              </w:rPr>
              <w:t>防洪评价</w:t>
            </w:r>
            <w:r>
              <w:rPr>
                <w:rFonts w:ascii="仿宋_GB2312" w:hAnsi="仿宋_GB2312" w:cs="仿宋_GB2312" w:eastAsia="仿宋_GB2312"/>
                <w:sz w:val="32"/>
              </w:rPr>
              <w:t>等</w:t>
            </w:r>
            <w:r>
              <w:rPr>
                <w:rFonts w:ascii="仿宋_GB2312" w:hAnsi="仿宋_GB2312" w:cs="仿宋_GB2312" w:eastAsia="仿宋_GB2312"/>
                <w:sz w:val="32"/>
              </w:rPr>
              <w:t>基本情况</w:t>
            </w:r>
            <w:r>
              <w:rPr>
                <w:rFonts w:ascii="仿宋_GB2312" w:hAnsi="仿宋_GB2312" w:cs="仿宋_GB2312" w:eastAsia="仿宋_GB2312"/>
                <w:sz w:val="32"/>
              </w:rPr>
              <w:t>进行全面调查，并对调查成果进行</w:t>
            </w:r>
            <w:r>
              <w:rPr>
                <w:rFonts w:ascii="仿宋_GB2312" w:hAnsi="仿宋_GB2312" w:cs="仿宋_GB2312" w:eastAsia="仿宋_GB2312"/>
                <w:sz w:val="32"/>
              </w:rPr>
              <w:t>整理汇总</w:t>
            </w:r>
            <w:r>
              <w:rPr>
                <w:rFonts w:ascii="仿宋_GB2312" w:hAnsi="仿宋_GB2312" w:cs="仿宋_GB2312" w:eastAsia="仿宋_GB2312"/>
                <w:sz w:val="32"/>
              </w:rPr>
              <w:t>校验</w:t>
            </w:r>
            <w:r>
              <w:rPr>
                <w:rFonts w:ascii="仿宋_GB2312" w:hAnsi="仿宋_GB2312" w:cs="仿宋_GB2312" w:eastAsia="仿宋_GB2312"/>
                <w:sz w:val="32"/>
              </w:rPr>
              <w:t>，对发现的涉及防汛安全的桥涵问题提出建议和意见，形成调查台账。</w:t>
            </w:r>
          </w:p>
          <w:p>
            <w:pPr>
              <w:pStyle w:val="null3"/>
              <w:ind w:firstLine="640"/>
              <w:jc w:val="both"/>
            </w:pPr>
            <w:r>
              <w:rPr>
                <w:rFonts w:ascii="仿宋_GB2312" w:hAnsi="仿宋_GB2312" w:cs="仿宋_GB2312" w:eastAsia="仿宋_GB2312"/>
                <w:sz w:val="32"/>
              </w:rPr>
              <w:t>调查</w:t>
            </w:r>
            <w:r>
              <w:rPr>
                <w:rFonts w:ascii="仿宋_GB2312" w:hAnsi="仿宋_GB2312" w:cs="仿宋_GB2312" w:eastAsia="仿宋_GB2312"/>
                <w:sz w:val="32"/>
              </w:rPr>
              <w:t>工作完成后，向项目单位提交</w:t>
            </w:r>
            <w:r>
              <w:rPr>
                <w:rFonts w:ascii="仿宋_GB2312" w:hAnsi="仿宋_GB2312" w:cs="仿宋_GB2312" w:eastAsia="仿宋_GB2312"/>
                <w:sz w:val="32"/>
              </w:rPr>
              <w:t>全市河道跨河桥梁现状调查</w:t>
            </w:r>
            <w:r>
              <w:rPr>
                <w:rFonts w:ascii="仿宋_GB2312" w:hAnsi="仿宋_GB2312" w:cs="仿宋_GB2312" w:eastAsia="仿宋_GB2312"/>
                <w:sz w:val="32"/>
              </w:rPr>
              <w:t>成果纸质版和电子版资料，其</w:t>
            </w:r>
            <w:r>
              <w:rPr>
                <w:rFonts w:ascii="仿宋_GB2312" w:hAnsi="仿宋_GB2312" w:cs="仿宋_GB2312" w:eastAsia="仿宋_GB2312"/>
                <w:sz w:val="32"/>
              </w:rPr>
              <w:t>中</w:t>
            </w:r>
            <w:r>
              <w:rPr>
                <w:rFonts w:ascii="仿宋_GB2312" w:hAnsi="仿宋_GB2312" w:cs="仿宋_GB2312" w:eastAsia="仿宋_GB2312"/>
                <w:sz w:val="32"/>
              </w:rPr>
              <w:t>纸质成果资料不少于</w:t>
            </w:r>
            <w:r>
              <w:rPr>
                <w:rFonts w:ascii="仿宋_GB2312" w:hAnsi="仿宋_GB2312" w:cs="仿宋_GB2312" w:eastAsia="仿宋_GB2312"/>
                <w:sz w:val="32"/>
              </w:rPr>
              <w:t>20</w:t>
            </w:r>
            <w:r>
              <w:rPr>
                <w:rFonts w:ascii="仿宋_GB2312" w:hAnsi="仿宋_GB2312" w:cs="仿宋_GB2312" w:eastAsia="仿宋_GB2312"/>
                <w:sz w:val="32"/>
              </w:rPr>
              <w:t>套。</w:t>
            </w:r>
          </w:p>
          <w:p>
            <w:pPr>
              <w:pStyle w:val="null3"/>
              <w:ind w:firstLine="640"/>
              <w:jc w:val="both"/>
            </w:pPr>
            <w:r>
              <w:rPr>
                <w:rFonts w:ascii="仿宋_GB2312" w:hAnsi="仿宋_GB2312" w:cs="仿宋_GB2312" w:eastAsia="仿宋_GB2312"/>
                <w:sz w:val="32"/>
              </w:rPr>
              <w:t>五、调查范围</w:t>
            </w:r>
            <w:r>
              <w:rPr>
                <w:rFonts w:ascii="仿宋_GB2312" w:hAnsi="仿宋_GB2312" w:cs="仿宋_GB2312" w:eastAsia="仿宋_GB2312"/>
                <w:sz w:val="32"/>
              </w:rPr>
              <w:t>为：</w:t>
            </w:r>
            <w:r>
              <w:rPr>
                <w:rFonts w:ascii="仿宋_GB2312" w:hAnsi="仿宋_GB2312" w:cs="仿宋_GB2312" w:eastAsia="仿宋_GB2312"/>
                <w:sz w:val="32"/>
              </w:rPr>
              <w:t>西安市</w:t>
            </w:r>
            <w:r>
              <w:rPr>
                <w:rFonts w:ascii="仿宋_GB2312" w:hAnsi="仿宋_GB2312" w:cs="仿宋_GB2312" w:eastAsia="仿宋_GB2312"/>
                <w:sz w:val="32"/>
              </w:rPr>
              <w:t>渭河、泾河、浐河、灞河、潏河、滈河、沣河、涝河、黑河</w:t>
            </w:r>
            <w:r>
              <w:rPr>
                <w:rFonts w:ascii="仿宋_GB2312" w:hAnsi="仿宋_GB2312" w:cs="仿宋_GB2312" w:eastAsia="仿宋_GB2312"/>
                <w:sz w:val="32"/>
              </w:rPr>
              <w:t>、</w:t>
            </w:r>
            <w:r>
              <w:rPr>
                <w:rFonts w:ascii="仿宋_GB2312" w:hAnsi="仿宋_GB2312" w:cs="仿宋_GB2312" w:eastAsia="仿宋_GB2312"/>
                <w:sz w:val="32"/>
              </w:rPr>
              <w:t>皂河</w:t>
            </w:r>
            <w:r>
              <w:rPr>
                <w:rFonts w:ascii="仿宋_GB2312" w:hAnsi="仿宋_GB2312" w:cs="仿宋_GB2312" w:eastAsia="仿宋_GB2312"/>
                <w:sz w:val="32"/>
              </w:rPr>
              <w:t>等</w:t>
            </w:r>
            <w:r>
              <w:rPr>
                <w:rFonts w:ascii="仿宋_GB2312" w:hAnsi="仿宋_GB2312" w:cs="仿宋_GB2312" w:eastAsia="仿宋_GB2312"/>
                <w:sz w:val="32"/>
              </w:rPr>
              <w:t>重要河流</w:t>
            </w:r>
            <w:r>
              <w:rPr>
                <w:rFonts w:ascii="仿宋_GB2312" w:hAnsi="仿宋_GB2312" w:cs="仿宋_GB2312" w:eastAsia="仿宋_GB2312"/>
                <w:sz w:val="32"/>
              </w:rPr>
              <w:t>干流，河流平原段跨河桥梁（</w:t>
            </w:r>
            <w:r>
              <w:rPr>
                <w:rFonts w:ascii="仿宋_GB2312" w:hAnsi="仿宋_GB2312" w:cs="仿宋_GB2312" w:eastAsia="仿宋_GB2312"/>
                <w:sz w:val="32"/>
              </w:rPr>
              <w:t>以</w:t>
            </w:r>
            <w:r>
              <w:rPr>
                <w:rFonts w:ascii="仿宋_GB2312" w:hAnsi="仿宋_GB2312" w:cs="仿宋_GB2312" w:eastAsia="仿宋_GB2312"/>
                <w:sz w:val="32"/>
              </w:rPr>
              <w:t>S107</w:t>
            </w:r>
            <w:r>
              <w:rPr>
                <w:rFonts w:ascii="仿宋_GB2312" w:hAnsi="仿宋_GB2312" w:cs="仿宋_GB2312" w:eastAsia="仿宋_GB2312"/>
                <w:sz w:val="32"/>
              </w:rPr>
              <w:t>（或</w:t>
            </w:r>
            <w:r>
              <w:rPr>
                <w:rFonts w:ascii="仿宋_GB2312" w:hAnsi="仿宋_GB2312" w:cs="仿宋_GB2312" w:eastAsia="仿宋_GB2312"/>
                <w:sz w:val="32"/>
              </w:rPr>
              <w:t>S108</w:t>
            </w:r>
            <w:r>
              <w:rPr>
                <w:rFonts w:ascii="仿宋_GB2312" w:hAnsi="仿宋_GB2312" w:cs="仿宋_GB2312" w:eastAsia="仿宋_GB2312"/>
                <w:sz w:val="32"/>
              </w:rPr>
              <w:t>）跨河桥涵为界</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六、调查依据</w:t>
            </w:r>
            <w:r>
              <w:rPr>
                <w:rFonts w:ascii="仿宋_GB2312" w:hAnsi="仿宋_GB2312" w:cs="仿宋_GB2312" w:eastAsia="仿宋_GB2312"/>
                <w:sz w:val="32"/>
              </w:rPr>
              <w:t>：《陕西省河道管理条例》、《陕西省河道管理范围内建设项目管理办法》、《中华人民共和国防洪法》。</w:t>
            </w:r>
            <w:r>
              <w:br/>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自合同签订后6个月内提交成果报告。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1、竞争性磋商文件、竞争性磋商响应文件、澄清表（函）；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乙方向甲方提交成果后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根据合同，按照《中华人民共和国民法典》中的相关条款执行。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供应商需在项目电子化交易系统中按要求填写《投标函》完成承诺并进行电子签章；按要求填写供应商企业关联关系声明函并进行电子签章。</w:t>
            </w:r>
          </w:p>
        </w:tc>
        <w:tc>
          <w:tcPr>
            <w:tcW w:type="dxa" w:w="1661"/>
          </w:tcPr>
          <w:p>
            <w:pPr>
              <w:pStyle w:val="null3"/>
            </w:pPr>
            <w:r>
              <w:rPr>
                <w:rFonts w:ascii="仿宋_GB2312" w:hAnsi="仿宋_GB2312" w:cs="仿宋_GB2312" w:eastAsia="仿宋_GB2312"/>
              </w:rPr>
              <w:t>供应商企业关联关系声明函.docx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2023年度或2024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设备及专业技术能力的声明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3年内在经营活动中没有重大违法记录的书面声明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被授权人参与磋商的需提供法定代表人身份证明书及授权委托书；法定代表人或负责人直接参与磋商的，须出具法定代表人身份证明书；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投标（响应）文件上法定代表人或其授权代表人的签字齐全及加盖公章</w:t>
            </w:r>
          </w:p>
        </w:tc>
        <w:tc>
          <w:tcPr>
            <w:tcW w:type="dxa" w:w="1661"/>
          </w:tcPr>
          <w:p>
            <w:pPr>
              <w:pStyle w:val="null3"/>
            </w:pPr>
            <w:r>
              <w:rPr>
                <w:rFonts w:ascii="仿宋_GB2312" w:hAnsi="仿宋_GB2312" w:cs="仿宋_GB2312" w:eastAsia="仿宋_GB2312"/>
              </w:rPr>
              <w:t>中小企业声明函.docx 供应商类似项目业绩一览表.docx 商务条款响应偏离表.docx 报价表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投标（响应）报价是唯一有效的、投标（响应）报价不得超出最高限价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技术、服务、商务及其他要求满足磋商文件要求</w:t>
            </w:r>
          </w:p>
        </w:tc>
        <w:tc>
          <w:tcPr>
            <w:tcW w:type="dxa" w:w="1661"/>
          </w:tcPr>
          <w:p>
            <w:pPr>
              <w:pStyle w:val="null3"/>
            </w:pPr>
            <w:r>
              <w:rPr>
                <w:rFonts w:ascii="仿宋_GB2312" w:hAnsi="仿宋_GB2312" w:cs="仿宋_GB2312" w:eastAsia="仿宋_GB2312"/>
              </w:rPr>
              <w:t>技术、服务条款响应偏离表.docx 商务条款响应偏离表.docx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中小企业声明函.docx 供应商类似项目业绩一览表.docx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对项目背景、意义、总体思路、调查范围、期限及工作目标的理解、认知是否充分、准确进行赋分。 完整准确阐述项目的背景，总体认知解读充分、准确，得(6-10]分； 较准确的阐述项目的背景，总体认知解读较充分、较准确，得(3-6]分； 阐述项目的背景不准确，总体认知解读不充分，得[0-3]分。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1、完整性：方案能对采购人提出的工作内容进行完整、合理地阐述，对所有服务需求提出明确的服务工作机制、工作流程的，根据响应情况得[0-5]分。 2、可行性：方案的总体框架清晰，符合项目特点，并提出合法、合规并有利于推动项目实施措施的，根据响应情况得[0-5]分。 3、专业性：技术思路清晰、明确，逻辑性强，有系统、科学、操作性强的研究方法，充分考虑区域实际，根据响应情况得[0-5]分。 4、及时性：方案中具有具体的服务响应期限，能够做到及时、高效响应采购人的需求，进度计划科学合理，保证工作效率效果，根据响应情况得[0-5]分。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重点难点分析全面、合理、准确，解决措施合理、具体、有效，得（6-10]分； 重点难点分析较全面、合理、准确，解决措施较合理、具体、有效，得（3-6]分； 重点难点分析不全面、简单笼统，解决措施合理性较差、简单、有效性较弱，得[0-3]分。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成果文件质量、保密 等保证措施</w:t>
            </w:r>
          </w:p>
        </w:tc>
        <w:tc>
          <w:tcPr>
            <w:tcW w:type="dxa" w:w="2492"/>
          </w:tcPr>
          <w:p>
            <w:pPr>
              <w:pStyle w:val="null3"/>
            </w:pPr>
            <w:r>
              <w:rPr>
                <w:rFonts w:ascii="仿宋_GB2312" w:hAnsi="仿宋_GB2312" w:cs="仿宋_GB2312" w:eastAsia="仿宋_GB2312"/>
              </w:rPr>
              <w:t>1.成果文件质量保证体系健全、控制程序规范、保证措施得当，得（3-6]分；成果文件质量保证体系基本健全、控制程序基本规范、保证措施基本得当，得[0-3]分。 2.保密体系健全、保证措施得当，得（3-5]分；保密体系基本健全、保证措施基本得当，得[0-3]分。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进度计划满足要求，节点清晰，控制措施合理得（3-6]分； 进度计划基本满足要求，节点基本清晰，控制措施基本合理得[0-3]分。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1、项目管理框架层次分明，采用专人负责制，人员配备数量及职责分工合理可行，满足项目服务要求的，得 3-6分；人员配备数量过少或分工不明确的，得 0-3 分。 2、拟派项目负责人具有水利相关专业高级职称的，得 3分，具有水利相关专业中级职称的，得 2 分，否则不得分；项目团队成员（除项目负责人外）具有水利相关专业高级职称的，每提供一个得 1 分，本项最高得 3 分。 (以磋商响应文件中的学历证书、职称或执业资格证书等相关证明资料扫描件为准，未提供不得分)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提供详细、完整、可行的后续服务方案、后续服务计划及措施全面、完整，计（3-6]分； 提供的后续服务方案基本可行，后续服务基本全面、完整性一般，计[0-3]分。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依据磋商响应文件所提供的针对本项目的相关服务承诺（包含人员到位承诺、服务响应时间及其他实质性承诺），从其承诺内容及承诺是否可行等方面，根据响应程度赋分。 承诺内容全面，可行性强，得(6-9]分；承诺内容基本全面，可行性基本满足项目需求，得(3-6]分；承诺内容简单，承诺可行性差，得[0-3]分；未提供不得分。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提供自2022年1月1日以来类似项目的业绩证明文件，每提供一份业绩证明文件，得 2分，满分6分。（注：业绩证明文件须是供应商已完成的类似项目，以合同为准，评审时以响应文件中提供的合同复印件并加盖公章为依据）。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 分统一按照下列公式计算：磋商报价得分=【评审基准价/磋商报价( 最终二次报价）】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详见附件：供应商企业关联关系声明函.docx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