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pStyle w:val="5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人员配置</w:t>
      </w:r>
    </w:p>
    <w:p w14:paraId="275A98F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E367C7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供应商提供针对本项目的人员配置情况，格式自拟，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内容包括但不限于：</w:t>
      </w:r>
      <w:r>
        <w:rPr>
          <w:rFonts w:hint="eastAsia"/>
          <w:sz w:val="28"/>
          <w:szCs w:val="28"/>
          <w:lang w:val="en-US" w:eastAsia="zh-CN"/>
        </w:rPr>
        <w:t>①人员配备； ②岗位分工与责任划分。</w:t>
      </w:r>
    </w:p>
    <w:p w14:paraId="1AC492CD">
      <w:pPr>
        <w:pStyle w:val="5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055219DB">
      <w:pPr>
        <w:rPr>
          <w:rFonts w:hint="eastAsia" w:eastAsia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7D69C7"/>
    <w:rsid w:val="187B4982"/>
    <w:rsid w:val="23203467"/>
    <w:rsid w:val="26A76454"/>
    <w:rsid w:val="36F03D5D"/>
    <w:rsid w:val="638954B5"/>
    <w:rsid w:val="69E86A98"/>
    <w:rsid w:val="6F021D2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2025-04-25T08:14:35Z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