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质量保证措施</w:t>
      </w:r>
    </w:p>
    <w:p w14:paraId="1AC492CD">
      <w:pPr>
        <w:pStyle w:val="5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针对本项目提供具体可行的实施方案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，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格式自拟，</w:t>
      </w:r>
      <w:bookmarkEnd w:id="0"/>
      <w:r>
        <w:rPr>
          <w:rFonts w:hint="eastAsia"/>
          <w:sz w:val="28"/>
          <w:szCs w:val="28"/>
          <w:lang w:val="en-US" w:eastAsia="zh-CN"/>
        </w:rPr>
        <w:t>包括但不限于：①项目进度计划及保证措施；②成果质量及服务保证措施。</w:t>
      </w:r>
    </w:p>
    <w:p w14:paraId="055219DB">
      <w:pPr>
        <w:rPr>
          <w:rFonts w:hint="eastAsia" w:eastAsia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7D69C7"/>
    <w:rsid w:val="0DDF6B7B"/>
    <w:rsid w:val="23203467"/>
    <w:rsid w:val="36F03D5D"/>
    <w:rsid w:val="4DD8686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205</Characters>
  <Lines>0</Lines>
  <Paragraphs>0</Paragraphs>
  <TotalTime>0</TotalTime>
  <ScaleCrop>false</ScaleCrop>
  <LinksUpToDate>false</LinksUpToDate>
  <CharactersWithSpaces>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2025-04-25T08:11:42Z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