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版本号：ZCPC-2025-00320250428001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秦岭文化探源项目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ZCPC-2025-003</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秦岭文化探源项目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秦岭文化探源项目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秦岭文化探源项目，1项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4月1日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4、社保缴纳证明：提供2024年4月1日至今已缴存任意一个月社会保障资金缴存单据或社保机构开具的社会保险参保缴费证明，依法不需要缴纳社会保障资金的单位应提供相应证明文件；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8、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长安区关中环线S107与子午大道十字向西850米路北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张琰玮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18966707323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银行户名：陕西众灿品诚项目管理有限公司 开户银行：招商银行西安分行钟楼支行 账号：129914150610901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联系人：张琰玮</w:t>
      </w:r>
    </w:p>
    <w:p>
      <w:pPr>
        <w:pStyle w:val="null3"/>
      </w:pPr>
      <w:r>
        <w:rPr>
          <w:rFonts w:ascii="仿宋_GB2312" w:hAnsi="仿宋_GB2312" w:cs="仿宋_GB2312" w:eastAsia="仿宋_GB2312"/>
        </w:rPr>
        <w:t>联系电话：18966707323</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展现秦岭“祖脉”和“中华文化重要象征”，通过设立“源起•秦岭”--秦岭文化探源项目。揭示秦岭对奴隶制国家兴衰、大一统封建王朝建立的深刻影响，对我国政治、社会、经济、文化早期形成的塑造作用;全面审视秦岭北麓(西安段)的红色文化资源、古代历史遗迹资源等代表性资源的内涵属性、保护现状和活化利用态势。进一步体现秦岭的文化象征意义，为西安市打造世界人文之都提供可资的历史文化支撑点，彰显西安独特的历史魅力，让世界更多地认知秦岭，了解西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秦岭文化探源项目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标的名称：秦岭文化探源项目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展现秦岭“祖脉”和“中华文化重要象征”，通过设立“源起•秦岭”--秦岭文化探源项目。揭示秦岭对奴隶制国家兴衰、大一统封建王朝建立的深刻影响，对我国政治、社会、经济、文化早期形成的塑造作用;全面审视秦岭北麓(西安段)的红色文化资源、古代历史遗迹资源等代表性资源的内涵属性、保护现状和活化利用态势。进一步体现秦岭的文化象征意义，为西安市打造世界人文之都提供可资的历史文化支撑点，彰显西安独特的历史魅力，让世界更多地认知秦岭，了解西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项目计划编著系列专著，梳理秦岭相关历史变迁、文化古迹研究成果、文化资源的保护现状及价值，系统整理和挖掘该地区的历史文化资源，通过书籍的形式进行传承和保护，避免在快速发展的现代社会中被遗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一)提升秦岭北麓（西安段）历史文化人文价值。丛书旨在系统整理和挖掘该地区的历史文化资源，通过书籍的形式进行传承和保护，避免在快速发展的现代社会中被遗忘。这不仅能够为后来人留下珍贵的文化研究资料，促进文化的代际传承，更有利于弘扬中华民族优秀传统文化，树立民族自信，还有助于提升社会对文化遗产保护的重视程度。 （二）促进秦岭北麓（西安段）的旅游经济发展。秦岭北麓（西安段）的自然风光和历史文化资源吸引了大量游客前来观光旅游。丛书的出版可以为游客提供更加全面、深入的旅游信息，推动当地旅游产业的发展。同时，通过书籍的宣传和推广，还可以提升秦岭北麓（西安段）的知名度和美誉度，吸引更多游客前来探访。 （三）助力秦岭北麓（西安段）人文与生态交流。丛书可以为相关领域的研究者提供重要的学术参考和借鉴，促进学术界的交流和合作。同时，该书还可以为国内外学者提供一个了解和研究秦岭北麓（西安段）历史文化独特魅力的窗口，促进不同地区之间的文化交流与相互理解和包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（一）成果交付要求 编著图书三本，字数约70万字，开本：16开。 （二）质量验收标准或规范 提前寄送成品图书供采购方查验文字质量和印装质量，符合现行的国家标准或国家行政部门颁布的法律法规、规章制度及行业标准。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符合本项目采购需求的专业人员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成交供应商在成交结果公示后线下递交纸质响应文件正本壹份、副本贰份，递交文件地点：陕西省西安市雁塔区电子城街道万象国际中心2号楼1单元801室。2、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1日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提供2024年4月1日至今已缴存任意一个月社会保障资金缴存单据或社保机构开具的社会保险参保缴费证明，依法不需要缴纳社会保障资金的单位应提供相应证明文件；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报价有效性</w:t>
            </w:r>
          </w:p>
        </w:tc>
        <w:tc>
          <w:tcPr>
            <w:tcW w:type="dxa" w:w="3322"/>
          </w:tcPr>
          <w:p>
            <w:pPr>
              <w:pStyle w:val="null3"/>
            </w:pPr>
            <w:r>
              <w:rPr>
                <w:rFonts w:ascii="仿宋_GB2312" w:hAnsi="仿宋_GB2312" w:cs="仿宋_GB2312" w:eastAsia="仿宋_GB2312"/>
              </w:rPr>
              <w:t>报价未超过磋商文件中规定的采购预算金额或最高限价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针对本项目提供具体可行的实施方案，包括但不限于：①项目背景及需求分析；②编制范围及内容；③编写依据、原则及工作思路；④编制框架。 二、评审标准 1、完善性：实施方案必须全面，对评审内容中的各项要求有详细阐述； 2、可实施性：切合本项目实际情况，提出步骤清晰、合理的信息采集分析服务实施方案； 3、针对性：实施方案能够紧扣项目实际情况，内容科学合理。 上述4项评审内容全部满足评审标准得40分，每有一个评审内容缺项扣10分，每有一项评审内容存在缺陷，扣0.01-9.99分，扣完为止。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针对本项目提供具体可行的实施方案，包括但不限于：①项目进度计划及保证措施；②成果质量及服务保证措施。 二、评审标准 1、完善性：服务质量保证实施方案必须全面，对评审内容中的各项要求有详细阐述； 2、可实施性：切合本项目实际情况，提出步骤清晰、合理的信息采集分析服务实施方案； 3、针对性：服务质量保证方案能够紧扣项目实际情况，内容科学合理。 上述2项评审内容全部满足评审标准得16分，每有一个评审内容缺项扣8分，每有一项评审内容存在缺陷，扣0.01-7.99分，扣完为止。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服务质量保证措施.docx</w:t>
            </w:r>
          </w:p>
        </w:tc>
      </w:tr>
      <w:tr>
        <w:tc>
          <w:tcPr>
            <w:tcW w:type="dxa" w:w="831"/>
            <w:vMerge/>
          </w:tcPr>
          <w:p/>
        </w:tc>
        <w:tc>
          <w:tcPr>
            <w:tcW w:type="dxa" w:w="1661"/>
          </w:tcPr>
          <w:p>
            <w:pPr>
              <w:pStyle w:val="null3"/>
            </w:pPr>
            <w:r>
              <w:rPr>
                <w:rFonts w:ascii="仿宋_GB2312" w:hAnsi="仿宋_GB2312" w:cs="仿宋_GB2312" w:eastAsia="仿宋_GB2312"/>
              </w:rPr>
              <w:t>对本项目的建议及意见</w:t>
            </w:r>
          </w:p>
        </w:tc>
        <w:tc>
          <w:tcPr>
            <w:tcW w:type="dxa" w:w="2492"/>
          </w:tcPr>
          <w:p>
            <w:pPr>
              <w:pStyle w:val="null3"/>
            </w:pPr>
            <w:r>
              <w:rPr>
                <w:rFonts w:ascii="仿宋_GB2312" w:hAnsi="仿宋_GB2312" w:cs="仿宋_GB2312" w:eastAsia="仿宋_GB2312"/>
              </w:rPr>
              <w:t>所提出的建议及意见合理、针对性强、利于本项目目标实现得3-6分（不含3分）；所提出的建议及意见基本合理、针对性不强、不利于本项目目标实现得0-3分（含3分），缺项得0分。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对本项目的建议及意见.docx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1.项目负责人具有相关专业高级或以上职称得5分，具有相关专业中级职称得3分，其它不得分。 2.项目负责人具有类似项目工作经验的得3分。 【证明材料：须提供类似项目相关工作经验证明材料加盖公章，否则不得分。】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①人员配备； ②岗位分工与责任划分。 二、评审标准 1、符合度：是否对整体需求进行充分响应，不得提供与本评审项无关内容; 2、完整性：需结合整体需求，进行全方面的描述，不得缺项， 3、合理性：需依据本项目阐述，具有可执行性。 上述2项评审内容全部满足评审标准得10分，每有一个评审内容缺项扣5分，每有一项评审内容存在缺陷，扣0.01-4.99分，扣完为止。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供应商提供2022年1月至今（以合同签订日期为准）类似项目业绩，每个有效业绩得2分，满分10分；（以合同为准附在响应文件中）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详见附件：服务质量保证措施.docx</w:t>
      </w:r>
    </w:p>
    <w:p>
      <w:pPr>
        <w:pStyle w:val="null3"/>
        <w:ind w:firstLine="960"/>
      </w:pPr>
      <w:r>
        <w:rPr>
          <w:rFonts w:ascii="仿宋_GB2312" w:hAnsi="仿宋_GB2312" w:cs="仿宋_GB2312" w:eastAsia="仿宋_GB2312"/>
        </w:rPr>
        <w:t>详见附件：对本项目的建议及意见.docx</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