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版本号：SXZY-2025-ZC-111820250424001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2025年图书馆电子资源续订</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SXZY-2025-ZC-1118</w:t>
      </w:r>
      <w:r>
        <w:br/>
      </w:r>
      <w:r>
        <w:br/>
      </w:r>
      <w:r>
        <w:br/>
      </w:r>
    </w:p>
    <w:p>
      <w:pPr>
        <w:pStyle w:val="null3"/>
        <w:jc w:val="center"/>
        <w:outlineLvl w:val="5"/>
      </w:pPr>
      <w:r>
        <w:rPr>
          <w:rFonts w:ascii="仿宋_GB2312" w:hAnsi="仿宋_GB2312" w:cs="仿宋_GB2312" w:eastAsia="仿宋_GB2312"/>
          <w:sz w:val="15"/>
          <w:b/>
        </w:rPr>
        <w:t>西安文理学院（本级）</w:t>
      </w:r>
    </w:p>
    <w:p>
      <w:pPr>
        <w:pStyle w:val="null3"/>
        <w:jc w:val="center"/>
        <w:outlineLvl w:val="5"/>
      </w:pPr>
      <w:r>
        <w:rPr>
          <w:rFonts w:ascii="仿宋_GB2312" w:hAnsi="仿宋_GB2312" w:cs="仿宋_GB2312" w:eastAsia="仿宋_GB2312"/>
          <w:sz w:val="15"/>
          <w:b/>
        </w:rPr>
        <w:t>陕西中仪项目管理有限公司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2025年图书馆电子资源续订</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SXZY-2025-ZC-1118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2025年图书馆电子资源续订</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根据图书馆资源建设发展需求，2025年计划订下列的10种数据库，其中2种外文期刊数据库是参加陕西省高校图工委团购计划。这些数据库在我校使用多年，已经具有一定的连续性，同时也广泛被各高校图书馆使用。这些数据库均使用独立的发布平台，采用自有的数据加密技术，数据库价格公开透明，具有较强的单一性、排他性。基于上述考虑，我馆希望在原有基础上订下列数据库，保持文献建设的连续性和增长性。</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采购包2（第二包：维普知识资源系统）：属于专门面向中小企业采购。</w:t>
      </w:r>
    </w:p>
    <w:p>
      <w:pPr>
        <w:pStyle w:val="null3"/>
      </w:pPr>
      <w:r>
        <w:rPr>
          <w:rFonts w:ascii="仿宋_GB2312" w:hAnsi="仿宋_GB2312" w:cs="仿宋_GB2312" w:eastAsia="仿宋_GB2312"/>
        </w:rPr>
        <w:t>采购包3（第三包：超星系列数据库）：属于专门面向中小企业采购。</w:t>
      </w:r>
    </w:p>
    <w:p>
      <w:pPr>
        <w:pStyle w:val="null3"/>
      </w:pPr>
      <w:r>
        <w:rPr>
          <w:rFonts w:ascii="仿宋_GB2312" w:hAnsi="仿宋_GB2312" w:cs="仿宋_GB2312" w:eastAsia="仿宋_GB2312"/>
        </w:rPr>
        <w:t>采购包4（第四包：起点考试）：属于专门面向中小企业采购。</w:t>
      </w:r>
    </w:p>
    <w:p>
      <w:pPr>
        <w:pStyle w:val="null3"/>
      </w:pPr>
      <w:r>
        <w:rPr>
          <w:rFonts w:ascii="仿宋_GB2312" w:hAnsi="仿宋_GB2312" w:cs="仿宋_GB2312" w:eastAsia="仿宋_GB2312"/>
        </w:rPr>
        <w:t>采购包5（第五包：中国近代教材库）：属于专门面向中小企业采购。</w:t>
      </w:r>
    </w:p>
    <w:p>
      <w:pPr>
        <w:pStyle w:val="null3"/>
      </w:pPr>
      <w:r>
        <w:rPr>
          <w:rFonts w:ascii="仿宋_GB2312" w:hAnsi="仿宋_GB2312" w:cs="仿宋_GB2312" w:eastAsia="仿宋_GB2312"/>
        </w:rPr>
        <w:t>采购包6（第六包：世界名校精品课和艺术库）：属于专门面向中小企业采购。</w:t>
      </w:r>
    </w:p>
    <w:p>
      <w:pPr>
        <w:pStyle w:val="null3"/>
      </w:pPr>
      <w:r>
        <w:rPr>
          <w:rFonts w:ascii="仿宋_GB2312" w:hAnsi="仿宋_GB2312" w:cs="仿宋_GB2312" w:eastAsia="仿宋_GB2312"/>
        </w:rPr>
        <w:t>采购包7（第七包：库客音乐数据库）：属于专门面向中小企业采购。</w:t>
      </w:r>
    </w:p>
    <w:p>
      <w:pPr>
        <w:pStyle w:val="null3"/>
      </w:pPr>
      <w:r>
        <w:rPr>
          <w:rFonts w:ascii="仿宋_GB2312" w:hAnsi="仿宋_GB2312" w:cs="仿宋_GB2312" w:eastAsia="仿宋_GB2312"/>
        </w:rPr>
        <w:t>采购包8（第八包：掌阅精选数字阅读平台）：属于专门面向中小企业采购。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社保资金缴纳证明：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rFonts w:ascii="仿宋_GB2312" w:hAnsi="仿宋_GB2312" w:cs="仿宋_GB2312" w:eastAsia="仿宋_GB2312"/>
        </w:rPr>
        <w:t>3、税收缴纳证明：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p>
      <w:pPr>
        <w:pStyle w:val="null3"/>
      </w:pPr>
      <w:r>
        <w:rPr>
          <w:rFonts w:ascii="仿宋_GB2312" w:hAnsi="仿宋_GB2312" w:cs="仿宋_GB2312" w:eastAsia="仿宋_GB2312"/>
        </w:rPr>
        <w:t>4、无重大违法记录声明：参加政府采购活动前3年内在经营活动中没有重大违法记录的书面声明。供应商需在项目电子化交易系统中按要求填写《响应函》完成承诺并进行电子签章。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5、履约能力承诺：提交具有履行合同所必需的设备和专业技术能力的承诺函。供应商需在项目电子化交易系统中按要求填写《响应函》完成承诺并进行电子签章。</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社保资金缴纳证明：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rFonts w:ascii="仿宋_GB2312" w:hAnsi="仿宋_GB2312" w:cs="仿宋_GB2312" w:eastAsia="仿宋_GB2312"/>
        </w:rPr>
        <w:t>3、税收缴纳证明：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p>
      <w:pPr>
        <w:pStyle w:val="null3"/>
      </w:pPr>
      <w:r>
        <w:rPr>
          <w:rFonts w:ascii="仿宋_GB2312" w:hAnsi="仿宋_GB2312" w:cs="仿宋_GB2312" w:eastAsia="仿宋_GB2312"/>
        </w:rPr>
        <w:t>4、无重大违法记录声明：参加政府采购活动前3年内在经营活动中没有重大违法记录的书面声明。供应商需在项目电子化交易系统中按要求填写《响应函》完成承诺并进行电子签章。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5、履约能力承诺：提交具有履行合同所必需的设备和专业技术能力的承诺函。供应商需在项目电子化交易系统中按要求填写《响应函》完成承诺并进行电子签章。</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社保资金缴纳证明：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rFonts w:ascii="仿宋_GB2312" w:hAnsi="仿宋_GB2312" w:cs="仿宋_GB2312" w:eastAsia="仿宋_GB2312"/>
        </w:rPr>
        <w:t>3、税收缴纳证明：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p>
      <w:pPr>
        <w:pStyle w:val="null3"/>
      </w:pPr>
      <w:r>
        <w:rPr>
          <w:rFonts w:ascii="仿宋_GB2312" w:hAnsi="仿宋_GB2312" w:cs="仿宋_GB2312" w:eastAsia="仿宋_GB2312"/>
        </w:rPr>
        <w:t>4、无重大违法记录声明：参加政府采购活动前3年内在经营活动中没有重大违法记录的书面声明。供应商需在项目电子化交易系统中按要求填写《响应函》完成承诺并进行电子签章。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5、履约能力承诺：提交具有履行合同所必需的设备和专业技术能力的承诺函。供应商需在项目电子化交易系统中按要求填写《响应函》完成承诺并进行电子签章。</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社保资金缴纳证明：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rFonts w:ascii="仿宋_GB2312" w:hAnsi="仿宋_GB2312" w:cs="仿宋_GB2312" w:eastAsia="仿宋_GB2312"/>
        </w:rPr>
        <w:t>3、税收缴纳证明：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p>
      <w:pPr>
        <w:pStyle w:val="null3"/>
      </w:pPr>
      <w:r>
        <w:rPr>
          <w:rFonts w:ascii="仿宋_GB2312" w:hAnsi="仿宋_GB2312" w:cs="仿宋_GB2312" w:eastAsia="仿宋_GB2312"/>
        </w:rPr>
        <w:t>4、无重大违法记录声明：参加政府采购活动前3年内在经营活动中没有重大违法记录的书面声明。供应商需在项目电子化交易系统中按要求填写《响应函》完成承诺并进行电子签章。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5、履约能力承诺：提交具有履行合同所必需的设备和专业技术能力的承诺函。供应商需在项目电子化交易系统中按要求填写《响应函》完成承诺并进行电子签章。</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社保资金缴纳证明：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rFonts w:ascii="仿宋_GB2312" w:hAnsi="仿宋_GB2312" w:cs="仿宋_GB2312" w:eastAsia="仿宋_GB2312"/>
        </w:rPr>
        <w:t>3、税收缴纳证明：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p>
      <w:pPr>
        <w:pStyle w:val="null3"/>
      </w:pPr>
      <w:r>
        <w:rPr>
          <w:rFonts w:ascii="仿宋_GB2312" w:hAnsi="仿宋_GB2312" w:cs="仿宋_GB2312" w:eastAsia="仿宋_GB2312"/>
        </w:rPr>
        <w:t>4、无重大违法记录声明：参加政府采购活动前3年内在经营活动中没有重大违法记录的书面声明。供应商需在项目电子化交易系统中按要求填写《响应函》完成承诺并进行电子签章。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5、履约能力承诺：提交具有履行合同所必需的设备和专业技术能力的承诺函。供应商需在项目电子化交易系统中按要求填写《响应函》完成承诺并进行电子签章。</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社保资金缴纳证明：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rFonts w:ascii="仿宋_GB2312" w:hAnsi="仿宋_GB2312" w:cs="仿宋_GB2312" w:eastAsia="仿宋_GB2312"/>
        </w:rPr>
        <w:t>3、税收缴纳证明：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p>
      <w:pPr>
        <w:pStyle w:val="null3"/>
      </w:pPr>
      <w:r>
        <w:rPr>
          <w:rFonts w:ascii="仿宋_GB2312" w:hAnsi="仿宋_GB2312" w:cs="仿宋_GB2312" w:eastAsia="仿宋_GB2312"/>
        </w:rPr>
        <w:t>4、无重大违法记录声明：参加政府采购活动前3年内在经营活动中没有重大违法记录的书面声明。供应商需在项目电子化交易系统中按要求填写《响应函》完成承诺并进行电子签章。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5、履约能力承诺：提交具有履行合同所必需的设备和专业技术能力的承诺函。供应商需在项目电子化交易系统中按要求填写《响应函》完成承诺并进行电子签章。</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社保资金缴纳证明：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rFonts w:ascii="仿宋_GB2312" w:hAnsi="仿宋_GB2312" w:cs="仿宋_GB2312" w:eastAsia="仿宋_GB2312"/>
        </w:rPr>
        <w:t>3、税收缴纳证明：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p>
      <w:pPr>
        <w:pStyle w:val="null3"/>
      </w:pPr>
      <w:r>
        <w:rPr>
          <w:rFonts w:ascii="仿宋_GB2312" w:hAnsi="仿宋_GB2312" w:cs="仿宋_GB2312" w:eastAsia="仿宋_GB2312"/>
        </w:rPr>
        <w:t>4、无重大违法记录声明：参加政府采购活动前3年内在经营活动中没有重大违法记录的书面声明。供应商需在项目电子化交易系统中按要求填写《响应函》完成承诺并进行电子签章。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5、履约能力承诺：提交具有履行合同所必需的设备和专业技术能力的承诺函。供应商需在项目电子化交易系统中按要求填写《响应函》完成承诺并进行电子签章。</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社保资金缴纳证明：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rFonts w:ascii="仿宋_GB2312" w:hAnsi="仿宋_GB2312" w:cs="仿宋_GB2312" w:eastAsia="仿宋_GB2312"/>
        </w:rPr>
        <w:t>3、税收缴纳证明：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p>
      <w:pPr>
        <w:pStyle w:val="null3"/>
      </w:pPr>
      <w:r>
        <w:rPr>
          <w:rFonts w:ascii="仿宋_GB2312" w:hAnsi="仿宋_GB2312" w:cs="仿宋_GB2312" w:eastAsia="仿宋_GB2312"/>
        </w:rPr>
        <w:t>4、无重大违法记录声明：参加政府采购活动前3年内在经营活动中没有重大违法记录的书面声明。供应商需在项目电子化交易系统中按要求填写《响应函》完成承诺并进行电子签章。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5、履约能力承诺：提交具有履行合同所必需的设备和专业技术能力的承诺函。供应商需在项目电子化交易系统中按要求填写《响应函》完成承诺并进行电子签章。</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社保资金缴纳证明：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rFonts w:ascii="仿宋_GB2312" w:hAnsi="仿宋_GB2312" w:cs="仿宋_GB2312" w:eastAsia="仿宋_GB2312"/>
        </w:rPr>
        <w:t>3、税收缴纳证明：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p>
      <w:pPr>
        <w:pStyle w:val="null3"/>
      </w:pPr>
      <w:r>
        <w:rPr>
          <w:rFonts w:ascii="仿宋_GB2312" w:hAnsi="仿宋_GB2312" w:cs="仿宋_GB2312" w:eastAsia="仿宋_GB2312"/>
        </w:rPr>
        <w:t>4、无重大违法记录声明：参加政府采购活动前3年内在经营活动中没有重大违法记录的书面声明。供应商需在项目电子化交易系统中按要求填写《响应函》完成承诺并进行电子签章。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5、履约能力承诺：提交具有履行合同所必需的设备和专业技术能力的承诺函。供应商需在项目电子化交易系统中按要求填写《响应函》完成承诺并进行电子签章。</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rFonts w:ascii="仿宋_GB2312" w:hAnsi="仿宋_GB2312" w:cs="仿宋_GB2312" w:eastAsia="仿宋_GB2312"/>
        </w:rPr>
        <w:t>2、社保资金缴纳证明：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rFonts w:ascii="仿宋_GB2312" w:hAnsi="仿宋_GB2312" w:cs="仿宋_GB2312" w:eastAsia="仿宋_GB2312"/>
        </w:rPr>
        <w:t>3、税收缴纳证明：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p>
      <w:pPr>
        <w:pStyle w:val="null3"/>
      </w:pPr>
      <w:r>
        <w:rPr>
          <w:rFonts w:ascii="仿宋_GB2312" w:hAnsi="仿宋_GB2312" w:cs="仿宋_GB2312" w:eastAsia="仿宋_GB2312"/>
        </w:rPr>
        <w:t>4、无重大违法记录声明：参加政府采购活动前3年内在经营活动中没有重大违法记录的书面声明。供应商需在项目电子化交易系统中按要求填写《响应函》完成承诺并进行电子签章。</w:t>
      </w:r>
    </w:p>
    <w:p>
      <w:pPr>
        <w:pStyle w:val="null3"/>
      </w:pPr>
      <w:r>
        <w:rPr>
          <w:rFonts w:ascii="仿宋_GB2312" w:hAnsi="仿宋_GB2312" w:cs="仿宋_GB2312" w:eastAsia="仿宋_GB2312"/>
        </w:rPr>
        <w:t>5、履约能力承诺：提交具有履行合同所必需的设备和专业技术能力的承诺函。供应商需在项目电子化交易系统中按要求填写《响应函》完成承诺并进行电子签章。</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西安文理学院（本级）经办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029-88258528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85500589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采购包1：450,500.00元</w:t>
            </w:r>
          </w:p>
          <w:p>
            <w:pPr>
              <w:pStyle w:val="null3"/>
            </w:pPr>
            <w:r>
              <w:rPr>
                <w:rFonts w:ascii="仿宋_GB2312" w:hAnsi="仿宋_GB2312" w:cs="仿宋_GB2312" w:eastAsia="仿宋_GB2312"/>
              </w:rPr>
              <w:t>采购包2：55,500.00元</w:t>
            </w:r>
          </w:p>
          <w:p>
            <w:pPr>
              <w:pStyle w:val="null3"/>
            </w:pPr>
            <w:r>
              <w:rPr>
                <w:rFonts w:ascii="仿宋_GB2312" w:hAnsi="仿宋_GB2312" w:cs="仿宋_GB2312" w:eastAsia="仿宋_GB2312"/>
              </w:rPr>
              <w:t>采购包3：230,500.00元</w:t>
            </w:r>
          </w:p>
          <w:p>
            <w:pPr>
              <w:pStyle w:val="null3"/>
            </w:pPr>
            <w:r>
              <w:rPr>
                <w:rFonts w:ascii="仿宋_GB2312" w:hAnsi="仿宋_GB2312" w:cs="仿宋_GB2312" w:eastAsia="仿宋_GB2312"/>
              </w:rPr>
              <w:t>采购包4：40,200.00元</w:t>
            </w:r>
          </w:p>
          <w:p>
            <w:pPr>
              <w:pStyle w:val="null3"/>
            </w:pPr>
            <w:r>
              <w:rPr>
                <w:rFonts w:ascii="仿宋_GB2312" w:hAnsi="仿宋_GB2312" w:cs="仿宋_GB2312" w:eastAsia="仿宋_GB2312"/>
              </w:rPr>
              <w:t>采购包5：40,200.00元</w:t>
            </w:r>
          </w:p>
          <w:p>
            <w:pPr>
              <w:pStyle w:val="null3"/>
            </w:pPr>
            <w:r>
              <w:rPr>
                <w:rFonts w:ascii="仿宋_GB2312" w:hAnsi="仿宋_GB2312" w:cs="仿宋_GB2312" w:eastAsia="仿宋_GB2312"/>
              </w:rPr>
              <w:t>采购包6：106,500.00元</w:t>
            </w:r>
          </w:p>
          <w:p>
            <w:pPr>
              <w:pStyle w:val="null3"/>
            </w:pPr>
            <w:r>
              <w:rPr>
                <w:rFonts w:ascii="仿宋_GB2312" w:hAnsi="仿宋_GB2312" w:cs="仿宋_GB2312" w:eastAsia="仿宋_GB2312"/>
              </w:rPr>
              <w:t>采购包7：45,300.00元</w:t>
            </w:r>
          </w:p>
          <w:p>
            <w:pPr>
              <w:pStyle w:val="null3"/>
            </w:pPr>
            <w:r>
              <w:rPr>
                <w:rFonts w:ascii="仿宋_GB2312" w:hAnsi="仿宋_GB2312" w:cs="仿宋_GB2312" w:eastAsia="仿宋_GB2312"/>
              </w:rPr>
              <w:t>采购包8：45,300.00元</w:t>
            </w:r>
          </w:p>
          <w:p>
            <w:pPr>
              <w:pStyle w:val="null3"/>
            </w:pPr>
            <w:r>
              <w:rPr>
                <w:rFonts w:ascii="仿宋_GB2312" w:hAnsi="仿宋_GB2312" w:cs="仿宋_GB2312" w:eastAsia="仿宋_GB2312"/>
              </w:rPr>
              <w:t>采购包9：89,500.00元</w:t>
            </w:r>
          </w:p>
          <w:p>
            <w:pPr>
              <w:pStyle w:val="null3"/>
            </w:pPr>
            <w:r>
              <w:rPr>
                <w:rFonts w:ascii="仿宋_GB2312" w:hAnsi="仿宋_GB2312" w:cs="仿宋_GB2312" w:eastAsia="仿宋_GB2312"/>
              </w:rPr>
              <w:t>采购包10：96,500.00元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采购包1：450,500.00元</w:t>
            </w:r>
          </w:p>
          <w:p>
            <w:pPr>
              <w:pStyle w:val="null3"/>
            </w:pPr>
            <w:r>
              <w:rPr>
                <w:rFonts w:ascii="仿宋_GB2312" w:hAnsi="仿宋_GB2312" w:cs="仿宋_GB2312" w:eastAsia="仿宋_GB2312"/>
              </w:rPr>
              <w:t>采购包2：55,500.00元</w:t>
            </w:r>
          </w:p>
          <w:p>
            <w:pPr>
              <w:pStyle w:val="null3"/>
            </w:pPr>
            <w:r>
              <w:rPr>
                <w:rFonts w:ascii="仿宋_GB2312" w:hAnsi="仿宋_GB2312" w:cs="仿宋_GB2312" w:eastAsia="仿宋_GB2312"/>
              </w:rPr>
              <w:t>采购包3：230,500.00元</w:t>
            </w:r>
          </w:p>
          <w:p>
            <w:pPr>
              <w:pStyle w:val="null3"/>
            </w:pPr>
            <w:r>
              <w:rPr>
                <w:rFonts w:ascii="仿宋_GB2312" w:hAnsi="仿宋_GB2312" w:cs="仿宋_GB2312" w:eastAsia="仿宋_GB2312"/>
              </w:rPr>
              <w:t>采购包4：40,200.00元</w:t>
            </w:r>
          </w:p>
          <w:p>
            <w:pPr>
              <w:pStyle w:val="null3"/>
            </w:pPr>
            <w:r>
              <w:rPr>
                <w:rFonts w:ascii="仿宋_GB2312" w:hAnsi="仿宋_GB2312" w:cs="仿宋_GB2312" w:eastAsia="仿宋_GB2312"/>
              </w:rPr>
              <w:t>采购包5：40,200.00元</w:t>
            </w:r>
          </w:p>
          <w:p>
            <w:pPr>
              <w:pStyle w:val="null3"/>
            </w:pPr>
            <w:r>
              <w:rPr>
                <w:rFonts w:ascii="仿宋_GB2312" w:hAnsi="仿宋_GB2312" w:cs="仿宋_GB2312" w:eastAsia="仿宋_GB2312"/>
              </w:rPr>
              <w:t>采购包6：106,500.00元</w:t>
            </w:r>
          </w:p>
          <w:p>
            <w:pPr>
              <w:pStyle w:val="null3"/>
            </w:pPr>
            <w:r>
              <w:rPr>
                <w:rFonts w:ascii="仿宋_GB2312" w:hAnsi="仿宋_GB2312" w:cs="仿宋_GB2312" w:eastAsia="仿宋_GB2312"/>
              </w:rPr>
              <w:t>采购包7：45,300.00元</w:t>
            </w:r>
          </w:p>
          <w:p>
            <w:pPr>
              <w:pStyle w:val="null3"/>
            </w:pPr>
            <w:r>
              <w:rPr>
                <w:rFonts w:ascii="仿宋_GB2312" w:hAnsi="仿宋_GB2312" w:cs="仿宋_GB2312" w:eastAsia="仿宋_GB2312"/>
              </w:rPr>
              <w:t>采购包8：45,300.00元</w:t>
            </w:r>
          </w:p>
          <w:p>
            <w:pPr>
              <w:pStyle w:val="null3"/>
            </w:pPr>
            <w:r>
              <w:rPr>
                <w:rFonts w:ascii="仿宋_GB2312" w:hAnsi="仿宋_GB2312" w:cs="仿宋_GB2312" w:eastAsia="仿宋_GB2312"/>
              </w:rPr>
              <w:t>采购包9：89,500.00元</w:t>
            </w:r>
          </w:p>
          <w:p>
            <w:pPr>
              <w:pStyle w:val="null3"/>
            </w:pPr>
            <w:r>
              <w:rPr>
                <w:rFonts w:ascii="仿宋_GB2312" w:hAnsi="仿宋_GB2312" w:cs="仿宋_GB2312" w:eastAsia="仿宋_GB2312"/>
              </w:rPr>
              <w:t>采购包10：96,500.00元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按照相关标准执行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根据图书馆资源建设发展需求，2025年计划订下列的10种数据库，其中2种外文期刊数据库是参加陕西省高校图工委团购计划。这些数据库在我校使用多年，已经具有一定的连续性，同时也广泛被各高校图书馆使用。这些数据库均使用独立的发布平台，采用自有的数据加密技术，数据库价格公开透明，具有较强的单一性、排他性。基于上述考虑，我馆希望在原有基础上订下列数据库，保持文献建设的连续性和增长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450,500.00</w:t>
      </w:r>
    </w:p>
    <w:p>
      <w:pPr>
        <w:pStyle w:val="null3"/>
      </w:pPr>
      <w:r>
        <w:rPr>
          <w:rFonts w:ascii="仿宋_GB2312" w:hAnsi="仿宋_GB2312" w:cs="仿宋_GB2312" w:eastAsia="仿宋_GB2312"/>
        </w:rPr>
        <w:t>采购包最高限价（元）: 450,500.00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第一包：中国知网电子文献数据库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450,500.00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55,500.00</w:t>
      </w:r>
    </w:p>
    <w:p>
      <w:pPr>
        <w:pStyle w:val="null3"/>
      </w:pPr>
      <w:r>
        <w:rPr>
          <w:rFonts w:ascii="仿宋_GB2312" w:hAnsi="仿宋_GB2312" w:cs="仿宋_GB2312" w:eastAsia="仿宋_GB2312"/>
        </w:rPr>
        <w:t>采购包最高限价（元）: 55,500.00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第二包：维普知识资源系统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55,500.00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230,500.00</w:t>
      </w:r>
    </w:p>
    <w:p>
      <w:pPr>
        <w:pStyle w:val="null3"/>
      </w:pPr>
      <w:r>
        <w:rPr>
          <w:rFonts w:ascii="仿宋_GB2312" w:hAnsi="仿宋_GB2312" w:cs="仿宋_GB2312" w:eastAsia="仿宋_GB2312"/>
        </w:rPr>
        <w:t>采购包最高限价（元）: 230,500.00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第三包：超星系列数据库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230,500.00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40,200.00</w:t>
      </w:r>
    </w:p>
    <w:p>
      <w:pPr>
        <w:pStyle w:val="null3"/>
      </w:pPr>
      <w:r>
        <w:rPr>
          <w:rFonts w:ascii="仿宋_GB2312" w:hAnsi="仿宋_GB2312" w:cs="仿宋_GB2312" w:eastAsia="仿宋_GB2312"/>
        </w:rPr>
        <w:t>采购包最高限价（元）: 40,200.00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第四包：起点考试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40,200.00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40,200.00</w:t>
      </w:r>
    </w:p>
    <w:p>
      <w:pPr>
        <w:pStyle w:val="null3"/>
      </w:pPr>
      <w:r>
        <w:rPr>
          <w:rFonts w:ascii="仿宋_GB2312" w:hAnsi="仿宋_GB2312" w:cs="仿宋_GB2312" w:eastAsia="仿宋_GB2312"/>
        </w:rPr>
        <w:t>采购包最高限价（元）: 40,200.00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第五包：中国近代教材库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40,200.00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106,500.00</w:t>
      </w:r>
    </w:p>
    <w:p>
      <w:pPr>
        <w:pStyle w:val="null3"/>
      </w:pPr>
      <w:r>
        <w:rPr>
          <w:rFonts w:ascii="仿宋_GB2312" w:hAnsi="仿宋_GB2312" w:cs="仿宋_GB2312" w:eastAsia="仿宋_GB2312"/>
        </w:rPr>
        <w:t>采购包最高限价（元）: 106,500.00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第六包：世界名校精品课和艺术库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106,500.00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45,300.00</w:t>
      </w:r>
    </w:p>
    <w:p>
      <w:pPr>
        <w:pStyle w:val="null3"/>
      </w:pPr>
      <w:r>
        <w:rPr>
          <w:rFonts w:ascii="仿宋_GB2312" w:hAnsi="仿宋_GB2312" w:cs="仿宋_GB2312" w:eastAsia="仿宋_GB2312"/>
        </w:rPr>
        <w:t>采购包最高限价（元）: 45,300.00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第七包：库客音乐数据库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45,300.00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45,300.00</w:t>
      </w:r>
    </w:p>
    <w:p>
      <w:pPr>
        <w:pStyle w:val="null3"/>
      </w:pPr>
      <w:r>
        <w:rPr>
          <w:rFonts w:ascii="仿宋_GB2312" w:hAnsi="仿宋_GB2312" w:cs="仿宋_GB2312" w:eastAsia="仿宋_GB2312"/>
        </w:rPr>
        <w:t>采购包最高限价（元）: 45,300.00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第八包：掌阅精选数字阅读平台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45,300.00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89,500.00</w:t>
      </w:r>
    </w:p>
    <w:p>
      <w:pPr>
        <w:pStyle w:val="null3"/>
      </w:pPr>
      <w:r>
        <w:rPr>
          <w:rFonts w:ascii="仿宋_GB2312" w:hAnsi="仿宋_GB2312" w:cs="仿宋_GB2312" w:eastAsia="仿宋_GB2312"/>
        </w:rPr>
        <w:t>采购包最高限价（元）: 89,500.00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第九包：EBSCO外文数据库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89,500.00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96,500.00</w:t>
      </w:r>
    </w:p>
    <w:p>
      <w:pPr>
        <w:pStyle w:val="null3"/>
      </w:pPr>
      <w:r>
        <w:rPr>
          <w:rFonts w:ascii="仿宋_GB2312" w:hAnsi="仿宋_GB2312" w:cs="仿宋_GB2312" w:eastAsia="仿宋_GB2312"/>
        </w:rPr>
        <w:t>采购包最高限价（元）: 96,500.00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第十包：Springer斯普林格外文科技期刊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96,500.00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标的名称：第一包：中国知网电子文献数据库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spacing w:before="45"/>
              <w:jc w:val="both"/>
            </w:pPr>
            <w:r>
              <w:rPr>
                <w:rFonts w:ascii="仿宋_GB2312" w:hAnsi="仿宋_GB2312" w:cs="仿宋_GB2312" w:eastAsia="仿宋_GB2312"/>
              </w:rPr>
              <w:t>第一包：中国知网电子文献数据库</w:t>
            </w:r>
          </w:p>
          <w:tbl>
            <w:tblPr>
              <w:tblBorders>
                <w:top w:val="none" w:color="000000" w:sz="4"/>
                <w:left w:val="none" w:color="000000" w:sz="4"/>
                <w:bottom w:val="none" w:color="000000" w:sz="4"/>
                <w:right w:val="none" w:color="000000" w:sz="4"/>
                <w:insideH w:val="none"/>
                <w:insideV w:val="none"/>
              </w:tblBorders>
            </w:tblPr>
            <w:tblGrid>
              <w:gridCol w:w="276"/>
              <w:gridCol w:w="197"/>
              <w:gridCol w:w="1386"/>
            </w:tblGrid>
            <w:tr>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内容</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并发数</w:t>
                  </w:r>
                </w:p>
              </w:tc>
              <w:tc>
                <w:tcPr>
                  <w:tcW w:type="dxa" w:w="1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参数和要求</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中国知网学术期刊网络版</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满足使用需求</w:t>
                  </w:r>
                </w:p>
              </w:tc>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1.包括学术期刊全部专辑；A,B,C,D,E,F,G,H,I,J专辑。</w:t>
                  </w:r>
                </w:p>
                <w:p>
                  <w:pPr>
                    <w:pStyle w:val="null3"/>
                    <w:spacing w:before="45"/>
                    <w:jc w:val="both"/>
                  </w:pPr>
                  <w:r>
                    <w:rPr>
                      <w:rFonts w:ascii="仿宋_GB2312" w:hAnsi="仿宋_GB2312" w:cs="仿宋_GB2312" w:eastAsia="仿宋_GB2312"/>
                      <w:sz w:val="19"/>
                    </w:rPr>
                    <w:t>2.服务期限内校园IP包库开通；</w:t>
                  </w:r>
                </w:p>
                <w:p>
                  <w:pPr>
                    <w:pStyle w:val="null3"/>
                    <w:spacing w:before="45"/>
                    <w:jc w:val="both"/>
                  </w:pPr>
                  <w:r>
                    <w:rPr>
                      <w:rFonts w:ascii="仿宋_GB2312" w:hAnsi="仿宋_GB2312" w:cs="仿宋_GB2312" w:eastAsia="仿宋_GB2312"/>
                      <w:sz w:val="19"/>
                    </w:rPr>
                    <w:t>3.所有内容无版权纠纷；无意识形态问题；</w:t>
                  </w:r>
                </w:p>
                <w:p>
                  <w:pPr>
                    <w:pStyle w:val="null3"/>
                    <w:spacing w:before="45"/>
                    <w:jc w:val="both"/>
                  </w:pPr>
                  <w:r>
                    <w:rPr>
                      <w:rFonts w:ascii="仿宋_GB2312" w:hAnsi="仿宋_GB2312" w:cs="仿宋_GB2312" w:eastAsia="仿宋_GB2312"/>
                      <w:sz w:val="19"/>
                    </w:rPr>
                    <w:t>4.全部内容的远程全文访问、浏览、下载；</w:t>
                  </w:r>
                </w:p>
                <w:p>
                  <w:pPr>
                    <w:pStyle w:val="null3"/>
                    <w:spacing w:before="45"/>
                    <w:jc w:val="both"/>
                  </w:pPr>
                  <w:r>
                    <w:rPr>
                      <w:rFonts w:ascii="仿宋_GB2312" w:hAnsi="仿宋_GB2312" w:cs="仿宋_GB2312" w:eastAsia="仿宋_GB2312"/>
                      <w:sz w:val="19"/>
                    </w:rPr>
                    <w:t>5.实时远程更新，对读者使用过程中的问题及时答复。</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中国知网学位论文数据库</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满足使用需求</w:t>
                  </w:r>
                </w:p>
              </w:tc>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1.除医学外9个专辑；A,B,C,D,F,G,H,I,J专辑。</w:t>
                  </w:r>
                </w:p>
                <w:p>
                  <w:pPr>
                    <w:pStyle w:val="null3"/>
                    <w:spacing w:before="45"/>
                    <w:jc w:val="both"/>
                  </w:pPr>
                  <w:r>
                    <w:rPr>
                      <w:rFonts w:ascii="仿宋_GB2312" w:hAnsi="仿宋_GB2312" w:cs="仿宋_GB2312" w:eastAsia="仿宋_GB2312"/>
                      <w:sz w:val="19"/>
                    </w:rPr>
                    <w:t>2.服务期限内校园IP包库开通；</w:t>
                  </w:r>
                </w:p>
                <w:p>
                  <w:pPr>
                    <w:pStyle w:val="null3"/>
                    <w:spacing w:before="45"/>
                    <w:jc w:val="both"/>
                  </w:pPr>
                  <w:r>
                    <w:rPr>
                      <w:rFonts w:ascii="仿宋_GB2312" w:hAnsi="仿宋_GB2312" w:cs="仿宋_GB2312" w:eastAsia="仿宋_GB2312"/>
                      <w:sz w:val="19"/>
                    </w:rPr>
                    <w:t>3.所有内容无版权纠纷；无意识形态问题；</w:t>
                  </w:r>
                </w:p>
                <w:p>
                  <w:pPr>
                    <w:pStyle w:val="null3"/>
                    <w:spacing w:before="45"/>
                    <w:jc w:val="both"/>
                  </w:pPr>
                  <w:r>
                    <w:rPr>
                      <w:rFonts w:ascii="仿宋_GB2312" w:hAnsi="仿宋_GB2312" w:cs="仿宋_GB2312" w:eastAsia="仿宋_GB2312"/>
                      <w:sz w:val="19"/>
                    </w:rPr>
                    <w:t>4.全部内容的远程全文访问、浏览、下载；</w:t>
                  </w:r>
                </w:p>
                <w:p>
                  <w:pPr>
                    <w:pStyle w:val="null3"/>
                    <w:spacing w:before="45"/>
                    <w:jc w:val="both"/>
                  </w:pPr>
                  <w:r>
                    <w:rPr>
                      <w:rFonts w:ascii="仿宋_GB2312" w:hAnsi="仿宋_GB2312" w:cs="仿宋_GB2312" w:eastAsia="仿宋_GB2312"/>
                      <w:sz w:val="19"/>
                    </w:rPr>
                    <w:t>5.实时远程更新，对读者使用过程中的问题及时答复。</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学术评价支撑平台</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满足使用需求</w:t>
                  </w:r>
                </w:p>
              </w:tc>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1.包含其产品中国引文库、学术知析、学术精要，可满足用户查收查引、成果评价、学者评价、机构评价与学科评价的创新服务需求。</w:t>
                  </w:r>
                </w:p>
                <w:p>
                  <w:pPr>
                    <w:pStyle w:val="null3"/>
                    <w:spacing w:before="45"/>
                    <w:jc w:val="both"/>
                  </w:pPr>
                  <w:r>
                    <w:rPr>
                      <w:rFonts w:ascii="仿宋_GB2312" w:hAnsi="仿宋_GB2312" w:cs="仿宋_GB2312" w:eastAsia="仿宋_GB2312"/>
                      <w:sz w:val="19"/>
                    </w:rPr>
                    <w:t>2.服务期限内校园IP包库开通；</w:t>
                  </w:r>
                </w:p>
                <w:p>
                  <w:pPr>
                    <w:pStyle w:val="null3"/>
                    <w:spacing w:before="45"/>
                    <w:jc w:val="both"/>
                  </w:pPr>
                  <w:r>
                    <w:rPr>
                      <w:rFonts w:ascii="仿宋_GB2312" w:hAnsi="仿宋_GB2312" w:cs="仿宋_GB2312" w:eastAsia="仿宋_GB2312"/>
                      <w:sz w:val="19"/>
                    </w:rPr>
                    <w:t>3.所有内容无版权纠纷；无意识形态问题；</w:t>
                  </w:r>
                </w:p>
                <w:p>
                  <w:pPr>
                    <w:pStyle w:val="null3"/>
                    <w:spacing w:before="45"/>
                    <w:jc w:val="both"/>
                  </w:pPr>
                  <w:r>
                    <w:rPr>
                      <w:rFonts w:ascii="仿宋_GB2312" w:hAnsi="仿宋_GB2312" w:cs="仿宋_GB2312" w:eastAsia="仿宋_GB2312"/>
                      <w:sz w:val="19"/>
                    </w:rPr>
                    <w:t>4.可根据自定义分析维度与数据范围，支持不少于1000万的实时在线科研成果统计，支持3000个学者账号的绑定，支持学者证书下载、报告下载等；</w:t>
                  </w:r>
                </w:p>
                <w:p>
                  <w:pPr>
                    <w:pStyle w:val="null3"/>
                    <w:spacing w:before="45"/>
                    <w:jc w:val="both"/>
                  </w:pPr>
                  <w:r>
                    <w:rPr>
                      <w:rFonts w:ascii="仿宋_GB2312" w:hAnsi="仿宋_GB2312" w:cs="仿宋_GB2312" w:eastAsia="仿宋_GB2312"/>
                      <w:sz w:val="19"/>
                    </w:rPr>
                    <w:t>5.实时远程更新，对读者使用过程中的问题及时答复。</w:t>
                  </w:r>
                </w:p>
              </w:tc>
            </w:tr>
          </w:tbl>
          <w:p>
            <w:pPr>
              <w:pStyle w:val="null3"/>
              <w:spacing w:before="45"/>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89"/>
              <w:gridCol w:w="270"/>
              <w:gridCol w:w="1501"/>
            </w:tblGrid>
            <w:tr>
              <w:tc>
                <w:tcPr>
                  <w:tcW w:type="dxa" w:w="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序号</w:t>
                  </w:r>
                </w:p>
              </w:tc>
              <w:tc>
                <w:tcPr>
                  <w:tcW w:type="dxa" w:w="27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要求项目</w:t>
                  </w:r>
                </w:p>
              </w:tc>
              <w:tc>
                <w:tcPr>
                  <w:tcW w:type="dxa" w:w="15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要求内容</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1</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及时办理付款</w:t>
                  </w:r>
                </w:p>
              </w:tc>
              <w:tc>
                <w:tcPr>
                  <w:tcW w:type="dxa" w:w="1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签订合同后2025年底前到账</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2</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时间要求</w:t>
                  </w:r>
                </w:p>
              </w:tc>
              <w:tc>
                <w:tcPr>
                  <w:tcW w:type="dxa" w:w="1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数据库服务时间为2025.7.1-2026.6.30</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3</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信息整理</w:t>
                  </w:r>
                </w:p>
              </w:tc>
              <w:tc>
                <w:tcPr>
                  <w:tcW w:type="dxa" w:w="1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配合图书馆整理发布使用统计等信息</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4</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信息采集</w:t>
                  </w:r>
                </w:p>
              </w:tc>
              <w:tc>
                <w:tcPr>
                  <w:tcW w:type="dxa" w:w="1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配合图书馆提供和填报数据库相关信息</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5</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培训宣传工作</w:t>
                  </w:r>
                </w:p>
              </w:tc>
              <w:tc>
                <w:tcPr>
                  <w:tcW w:type="dxa" w:w="1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免费协助图书馆开展培训活动，每年不少于2次，提供宣传单页和易拉宝等宣传物料；</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6</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正常访问</w:t>
                  </w:r>
                </w:p>
              </w:tc>
              <w:tc>
                <w:tcPr>
                  <w:tcW w:type="dxa" w:w="1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保证数据库能够学校IP段内7×24小时在线访问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7</w:t>
                  </w:r>
                </w:p>
              </w:tc>
              <w:tc>
                <w:tcPr>
                  <w:tcW w:type="dxa" w:w="2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维修</w:t>
                  </w:r>
                </w:p>
              </w:tc>
              <w:tc>
                <w:tcPr>
                  <w:tcW w:type="dxa" w:w="1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质保期为壹年，配合图书馆的要求做到维护</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标的名称：第二包：维普知识资源系统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spacing w:before="45"/>
              <w:jc w:val="both"/>
            </w:pPr>
            <w:r>
              <w:rPr>
                <w:rFonts w:ascii="仿宋_GB2312" w:hAnsi="仿宋_GB2312" w:cs="仿宋_GB2312" w:eastAsia="仿宋_GB2312"/>
              </w:rPr>
              <w:t>第二包：维普知识资源系统</w:t>
            </w:r>
          </w:p>
          <w:tbl>
            <w:tblPr>
              <w:tblInd w:type="dxa" w:w="120"/>
              <w:tblBorders>
                <w:top w:val="none" w:color="000000" w:sz="4"/>
                <w:left w:val="none" w:color="000000" w:sz="4"/>
                <w:bottom w:val="none" w:color="000000" w:sz="4"/>
                <w:right w:val="none" w:color="000000" w:sz="4"/>
                <w:insideH w:val="none"/>
                <w:insideV w:val="none"/>
              </w:tblBorders>
            </w:tblPr>
            <w:tblGrid>
              <w:gridCol w:w="226"/>
              <w:gridCol w:w="137"/>
              <w:gridCol w:w="1498"/>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内容</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并发数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参数和要求</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维普知识资源系统</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无</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1、涵盖自然科学、工程技术、农业、医药卫生、经济、教育和图书情报等学科的15000余种中文期刊数据资源；</w:t>
                  </w:r>
                </w:p>
                <w:p>
                  <w:pPr>
                    <w:pStyle w:val="null3"/>
                    <w:spacing w:before="45"/>
                    <w:jc w:val="both"/>
                  </w:pPr>
                  <w:r>
                    <w:rPr>
                      <w:rFonts w:ascii="仿宋_GB2312" w:hAnsi="仿宋_GB2312" w:cs="仿宋_GB2312" w:eastAsia="仿宋_GB2312"/>
                      <w:sz w:val="19"/>
                    </w:rPr>
                    <w:t>2、提供全球文献知识检索服务，对中外文文献资源一站式发现。用户在检索结果页面中，可查看包含多种文献类型、多个文献来源的电子与纸本文献内容；</w:t>
                  </w:r>
                  <w:r>
                    <w:br/>
                  </w:r>
                  <w:r>
                    <w:rPr>
                      <w:rFonts w:ascii="仿宋_GB2312" w:hAnsi="仿宋_GB2312" w:cs="仿宋_GB2312" w:eastAsia="仿宋_GB2312"/>
                      <w:sz w:val="19"/>
                    </w:rPr>
                    <w:t xml:space="preserve"> 3、经纶知识发现平台覆盖的文献数据规模不低于10亿条数据，类型包括中外文的期刊论文、图书、学位论文、会议论文、专利、标准、法规、资讯、视频、科技报告；</w:t>
                  </w:r>
                  <w:r>
                    <w:br/>
                  </w:r>
                  <w:r>
                    <w:rPr>
                      <w:rFonts w:ascii="仿宋_GB2312" w:hAnsi="仿宋_GB2312" w:cs="仿宋_GB2312" w:eastAsia="仿宋_GB2312"/>
                      <w:sz w:val="19"/>
                    </w:rPr>
                    <w:t xml:space="preserve"> 4、经纶知识发现平台覆盖的元数据定期持续更新，与来源数据保持一致。更新周期延迟应该在合理范围内，期刊论文更新延迟不超过1周。全年更新元数据不低于1000万条；</w:t>
                  </w:r>
                  <w:r>
                    <w:br/>
                  </w:r>
                  <w:r>
                    <w:rPr>
                      <w:rFonts w:ascii="仿宋_GB2312" w:hAnsi="仿宋_GB2312" w:cs="仿宋_GB2312" w:eastAsia="仿宋_GB2312"/>
                      <w:sz w:val="19"/>
                    </w:rPr>
                    <w:t xml:space="preserve"> 5、支持文献传递服务，如果检索结果中期刊与论文无法直接获取全文，读者可以提交该文献传递申请，通过智慧图书馆服务联盟协同以邮件的方式获取全文；</w:t>
                  </w:r>
                  <w:r>
                    <w:br/>
                  </w:r>
                  <w:r>
                    <w:rPr>
                      <w:rFonts w:ascii="仿宋_GB2312" w:hAnsi="仿宋_GB2312" w:cs="仿宋_GB2312" w:eastAsia="仿宋_GB2312"/>
                      <w:sz w:val="19"/>
                    </w:rPr>
                    <w:t xml:space="preserve"> 6、支持个人漫游账号注册，读者可以在校外使用个人账号登陆使用文献；</w:t>
                  </w:r>
                </w:p>
                <w:p>
                  <w:pPr>
                    <w:pStyle w:val="null3"/>
                    <w:spacing w:before="45"/>
                    <w:jc w:val="both"/>
                  </w:pPr>
                  <w:r>
                    <w:rPr>
                      <w:rFonts w:ascii="仿宋_GB2312" w:hAnsi="仿宋_GB2312" w:cs="仿宋_GB2312" w:eastAsia="仿宋_GB2312"/>
                      <w:sz w:val="19"/>
                    </w:rPr>
                    <w:t>7、服务期限内校园IP包库开通使用；</w:t>
                  </w:r>
                </w:p>
                <w:p>
                  <w:pPr>
                    <w:pStyle w:val="null3"/>
                    <w:spacing w:before="45"/>
                    <w:jc w:val="both"/>
                  </w:pPr>
                  <w:r>
                    <w:rPr>
                      <w:rFonts w:ascii="仿宋_GB2312" w:hAnsi="仿宋_GB2312" w:cs="仿宋_GB2312" w:eastAsia="仿宋_GB2312"/>
                      <w:sz w:val="19"/>
                    </w:rPr>
                    <w:t>8、所提供内容无版权纠纷；无意识形态问题；</w:t>
                  </w:r>
                </w:p>
                <w:p>
                  <w:pPr>
                    <w:pStyle w:val="null3"/>
                    <w:spacing w:before="45"/>
                    <w:jc w:val="both"/>
                  </w:pPr>
                  <w:r>
                    <w:rPr>
                      <w:rFonts w:ascii="仿宋_GB2312" w:hAnsi="仿宋_GB2312" w:cs="仿宋_GB2312" w:eastAsia="仿宋_GB2312"/>
                      <w:sz w:val="19"/>
                    </w:rPr>
                    <w:t>9、保证数据库能够学校IP段内7×24小时在线访问；</w:t>
                  </w:r>
                </w:p>
              </w:tc>
            </w:tr>
          </w:tbl>
          <w:p>
            <w:pPr>
              <w:pStyle w:val="null3"/>
              <w:spacing w:before="45"/>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91"/>
              <w:gridCol w:w="278"/>
              <w:gridCol w:w="1491"/>
            </w:tblGrid>
            <w:tr>
              <w:tc>
                <w:tcPr>
                  <w:tcW w:type="dxa" w:w="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序号</w:t>
                  </w:r>
                </w:p>
              </w:tc>
              <w:tc>
                <w:tcPr>
                  <w:tcW w:type="dxa" w:w="2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要求项目</w:t>
                  </w:r>
                </w:p>
              </w:tc>
              <w:tc>
                <w:tcPr>
                  <w:tcW w:type="dxa" w:w="14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要求内容</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1</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及时办理付款</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签订合同后2025年底前到账</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2</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时间要求</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数据库服务时间为2025.7.1-2026.6.30</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3</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信息整理</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配合图书馆整理发布使用统计等信息</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4</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信息采集</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配合图书馆提供和填报数据库相关信息</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5</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培训宣传工作</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协助图书馆开展培训活动，每年不少于4次，提供宣传单页和易拉宝等宣传物料；</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6</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正常访问</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保证数据库能够学校IP段内7×24小时在线访问</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7</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维修</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免费保修壹年，终身维护，配合图书馆的要求做到维护</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标的名称：第三包：超星系列数据库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spacing w:before="45"/>
              <w:jc w:val="both"/>
            </w:pPr>
            <w:r>
              <w:rPr>
                <w:rFonts w:ascii="仿宋_GB2312" w:hAnsi="仿宋_GB2312" w:cs="仿宋_GB2312" w:eastAsia="仿宋_GB2312"/>
              </w:rPr>
              <w:t>第三包：超星系列数据库</w:t>
            </w:r>
          </w:p>
          <w:tbl>
            <w:tblPr>
              <w:tblInd w:type="dxa" w:w="120"/>
              <w:tblBorders>
                <w:top w:val="none" w:color="000000" w:sz="4"/>
                <w:left w:val="none" w:color="000000" w:sz="4"/>
                <w:bottom w:val="none" w:color="000000" w:sz="4"/>
                <w:right w:val="none" w:color="000000" w:sz="4"/>
                <w:insideH w:val="none"/>
                <w:insideV w:val="none"/>
              </w:tblBorders>
            </w:tblPr>
            <w:tblGrid>
              <w:gridCol w:w="154"/>
              <w:gridCol w:w="165"/>
              <w:gridCol w:w="1541"/>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内容</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并发数</w:t>
                  </w:r>
                </w:p>
              </w:tc>
              <w:tc>
                <w:tcPr>
                  <w:tcW w:type="dxa" w:w="15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参数和要求</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读秀学术</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无</w:t>
                  </w:r>
                </w:p>
              </w:tc>
              <w:tc>
                <w:tcPr>
                  <w:tcW w:type="dxa" w:w="1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1.包括700万种中文图书元数据；39万种图书全文；6998万条中文期刊数据；每年10万种以上的图书更新速度；</w:t>
                  </w:r>
                </w:p>
                <w:p>
                  <w:pPr>
                    <w:pStyle w:val="null3"/>
                    <w:spacing w:before="45"/>
                    <w:jc w:val="both"/>
                  </w:pPr>
                  <w:r>
                    <w:rPr>
                      <w:rFonts w:ascii="仿宋_GB2312" w:hAnsi="仿宋_GB2312" w:cs="仿宋_GB2312" w:eastAsia="仿宋_GB2312"/>
                      <w:sz w:val="19"/>
                    </w:rPr>
                    <w:t>2.实现全文检索、图书、期刊、报纸、学位论文和会议论文的垂直检索。</w:t>
                  </w:r>
                </w:p>
                <w:p>
                  <w:pPr>
                    <w:pStyle w:val="null3"/>
                    <w:spacing w:before="45"/>
                    <w:jc w:val="both"/>
                  </w:pPr>
                  <w:r>
                    <w:rPr>
                      <w:rFonts w:ascii="仿宋_GB2312" w:hAnsi="仿宋_GB2312" w:cs="仿宋_GB2312" w:eastAsia="仿宋_GB2312"/>
                      <w:sz w:val="19"/>
                    </w:rPr>
                    <w:t>3.文献传递：打破传统信息传递方式，使用E－mail进行文献传递，用户能够在最短的时间内获得最大信息量的文献资源。</w:t>
                  </w:r>
                </w:p>
                <w:p>
                  <w:pPr>
                    <w:pStyle w:val="null3"/>
                    <w:spacing w:before="45"/>
                    <w:jc w:val="both"/>
                  </w:pPr>
                  <w:r>
                    <w:rPr>
                      <w:rFonts w:ascii="仿宋_GB2312" w:hAnsi="仿宋_GB2312" w:cs="仿宋_GB2312" w:eastAsia="仿宋_GB2312"/>
                      <w:sz w:val="19"/>
                    </w:rPr>
                    <w:t>4.服务期限内校园IP包库开通；</w:t>
                  </w:r>
                </w:p>
                <w:p>
                  <w:pPr>
                    <w:pStyle w:val="null3"/>
                    <w:spacing w:before="45"/>
                    <w:jc w:val="both"/>
                  </w:pPr>
                  <w:r>
                    <w:rPr>
                      <w:rFonts w:ascii="仿宋_GB2312" w:hAnsi="仿宋_GB2312" w:cs="仿宋_GB2312" w:eastAsia="仿宋_GB2312"/>
                      <w:sz w:val="19"/>
                    </w:rPr>
                    <w:t>5.所有内容无版权纠纷；无意识形态问题；全部内容的远程全文访问、浏览、下载；</w:t>
                  </w:r>
                </w:p>
                <w:p>
                  <w:pPr>
                    <w:pStyle w:val="null3"/>
                    <w:spacing w:before="45"/>
                    <w:jc w:val="both"/>
                  </w:pPr>
                  <w:r>
                    <w:rPr>
                      <w:rFonts w:ascii="仿宋_GB2312" w:hAnsi="仿宋_GB2312" w:cs="仿宋_GB2312" w:eastAsia="仿宋_GB2312"/>
                      <w:sz w:val="19"/>
                    </w:rPr>
                    <w:t>6.实时远程更新，对读者使用过程中的问题即时答复</w:t>
                  </w:r>
                </w:p>
                <w:p>
                  <w:pPr>
                    <w:pStyle w:val="null3"/>
                    <w:spacing w:before="45"/>
                    <w:jc w:val="both"/>
                  </w:pPr>
                  <w:r>
                    <w:rPr>
                      <w:rFonts w:ascii="仿宋_GB2312" w:hAnsi="仿宋_GB2312" w:cs="仿宋_GB2312" w:eastAsia="仿宋_GB2312"/>
                      <w:sz w:val="19"/>
                    </w:rPr>
                    <w:t>7.安装本地图书2000册。</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移动图书馆</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无</w:t>
                  </w:r>
                </w:p>
              </w:tc>
              <w:tc>
                <w:tcPr>
                  <w:tcW w:type="dxa" w:w="1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1.实现图书馆各个栏目在不同移动终端上的阅读访问。</w:t>
                  </w:r>
                </w:p>
                <w:p>
                  <w:pPr>
                    <w:pStyle w:val="null3"/>
                    <w:spacing w:before="45"/>
                    <w:jc w:val="both"/>
                  </w:pPr>
                  <w:r>
                    <w:rPr>
                      <w:rFonts w:ascii="仿宋_GB2312" w:hAnsi="仿宋_GB2312" w:cs="仿宋_GB2312" w:eastAsia="仿宋_GB2312"/>
                      <w:sz w:val="19"/>
                    </w:rPr>
                    <w:t>2.提供适合手机使用的有完全自主知识产权的视频，支持视频播放，移动图书馆视频内嵌资源量要求不少于1万集。</w:t>
                  </w:r>
                </w:p>
                <w:p>
                  <w:pPr>
                    <w:pStyle w:val="null3"/>
                    <w:spacing w:before="45"/>
                    <w:jc w:val="both"/>
                  </w:pPr>
                  <w:r>
                    <w:rPr>
                      <w:rFonts w:ascii="仿宋_GB2312" w:hAnsi="仿宋_GB2312" w:cs="仿宋_GB2312" w:eastAsia="仿宋_GB2312"/>
                      <w:sz w:val="19"/>
                    </w:rPr>
                    <w:t>3.在资源整合平台建立的基础上，可以实现移动图书馆同一平台上统一检索。所有内容无版权纠纷；无意识形态问题；</w:t>
                  </w:r>
                </w:p>
                <w:p>
                  <w:pPr>
                    <w:pStyle w:val="null3"/>
                    <w:spacing w:before="45"/>
                    <w:jc w:val="both"/>
                  </w:pPr>
                  <w:r>
                    <w:rPr>
                      <w:rFonts w:ascii="仿宋_GB2312" w:hAnsi="仿宋_GB2312" w:cs="仿宋_GB2312" w:eastAsia="仿宋_GB2312"/>
                      <w:sz w:val="19"/>
                    </w:rPr>
                    <w:t>4.提供多种全文获取方式，本馆有全文的直接阅读，本馆没有全文的通过与已有的文献传递系统对接，将文献发送到读者的邮箱，实现随时随地的阅读。</w:t>
                  </w:r>
                </w:p>
                <w:p>
                  <w:pPr>
                    <w:pStyle w:val="null3"/>
                    <w:spacing w:before="45"/>
                    <w:jc w:val="both"/>
                  </w:pPr>
                  <w:r>
                    <w:rPr>
                      <w:rFonts w:ascii="仿宋_GB2312" w:hAnsi="仿宋_GB2312" w:cs="仿宋_GB2312" w:eastAsia="仿宋_GB2312"/>
                      <w:sz w:val="19"/>
                    </w:rPr>
                    <w:t>5、通过与图书馆OPAC系统的对接，实现图书馆传统纸质图书借还服务在手机上的应用，例如读者能够随时随地自助完成馆藏查询、预约、续借等服务。</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超星发现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无</w:t>
                  </w:r>
                </w:p>
              </w:tc>
              <w:tc>
                <w:tcPr>
                  <w:tcW w:type="dxa" w:w="1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1.支持空检索，并显示空检条件下整体数据量，以及各文献类型包括图书、期刊、学位等数据量，各年份收录量等；</w:t>
                  </w:r>
                </w:p>
                <w:p>
                  <w:pPr>
                    <w:pStyle w:val="null3"/>
                    <w:spacing w:before="45"/>
                    <w:jc w:val="both"/>
                  </w:pPr>
                  <w:r>
                    <w:rPr>
                      <w:rFonts w:ascii="仿宋_GB2312" w:hAnsi="仿宋_GB2312" w:cs="仿宋_GB2312" w:eastAsia="仿宋_GB2312"/>
                      <w:sz w:val="19"/>
                    </w:rPr>
                    <w:t>2.提供期刊刊种导航，支持对期刊进行OA刊、语种、教育部学科、首字母、重要期刊、JCR分区、出版周期的聚类筛选，支持对刊名、主办单位、ISSN、CN号等检索字段进行检索，可按照年卷期的导航方式显示刊物篇目级数据；</w:t>
                  </w:r>
                </w:p>
                <w:p>
                  <w:pPr>
                    <w:pStyle w:val="null3"/>
                    <w:spacing w:before="45"/>
                    <w:jc w:val="both"/>
                  </w:pPr>
                  <w:r>
                    <w:rPr>
                      <w:rFonts w:ascii="仿宋_GB2312" w:hAnsi="仿宋_GB2312" w:cs="仿宋_GB2312" w:eastAsia="仿宋_GB2312"/>
                      <w:sz w:val="19"/>
                    </w:rPr>
                    <w:t>3.整合图书馆纸电资源，实现同一条数据在资源层面做去重，将纸质获取途径和电子获取途径进行联合揭示，实现图书馆纸电资源的统一检索和资源获取服务，打造图书馆纸电一体资源目录体系；</w:t>
                  </w:r>
                </w:p>
                <w:p>
                  <w:pPr>
                    <w:pStyle w:val="null3"/>
                    <w:spacing w:before="45"/>
                    <w:jc w:val="both"/>
                  </w:pPr>
                  <w:r>
                    <w:rPr>
                      <w:rFonts w:ascii="仿宋_GB2312" w:hAnsi="仿宋_GB2312" w:cs="仿宋_GB2312" w:eastAsia="仿宋_GB2312"/>
                      <w:sz w:val="19"/>
                    </w:rPr>
                    <w:t>4.支持对不同资源混合排序，如支持学术性、相关性、馆藏优先、时间升降序等排序方式；</w:t>
                  </w:r>
                </w:p>
                <w:p>
                  <w:pPr>
                    <w:pStyle w:val="null3"/>
                    <w:spacing w:before="45"/>
                    <w:jc w:val="both"/>
                  </w:pPr>
                  <w:r>
                    <w:rPr>
                      <w:rFonts w:ascii="仿宋_GB2312" w:hAnsi="仿宋_GB2312" w:cs="仿宋_GB2312" w:eastAsia="仿宋_GB2312"/>
                      <w:sz w:val="19"/>
                    </w:rPr>
                    <w:t>5.根据检索结果，提供历年各文献类型学术文章发展分布趋势图、学科、刊物、重要收录、地区、基金等趋势图或分布图。并且和左侧分面聚类进行呼应呈现，支持Excel文件导出；</w:t>
                  </w:r>
                </w:p>
                <w:p>
                  <w:pPr>
                    <w:pStyle w:val="null3"/>
                    <w:spacing w:before="45"/>
                    <w:jc w:val="both"/>
                  </w:pPr>
                  <w:r>
                    <w:rPr>
                      <w:rFonts w:ascii="仿宋_GB2312" w:hAnsi="仿宋_GB2312" w:cs="仿宋_GB2312" w:eastAsia="仿宋_GB2312"/>
                      <w:sz w:val="19"/>
                    </w:rPr>
                    <w:t>6.提供知识关联图谱分析，通过输入中心词，可呈现相关的知识点关系图，支持按照不同属性、不同布局、不同节点数量等条件进行筛选，呈现渐进式多层图谱效果，同时提供该知识点相关文献的推荐；</w:t>
                  </w:r>
                </w:p>
                <w:p>
                  <w:pPr>
                    <w:pStyle w:val="null3"/>
                    <w:spacing w:before="45"/>
                    <w:jc w:val="both"/>
                  </w:pPr>
                  <w:r>
                    <w:rPr>
                      <w:rFonts w:ascii="仿宋_GB2312" w:hAnsi="仿宋_GB2312" w:cs="仿宋_GB2312" w:eastAsia="仿宋_GB2312"/>
                      <w:sz w:val="19"/>
                    </w:rPr>
                    <w:t>7.支持与图书馆OPAC系统、各类商业数据库无缝对接；</w:t>
                  </w:r>
                </w:p>
              </w:tc>
            </w:tr>
          </w:tbl>
          <w:p>
            <w:pPr>
              <w:pStyle w:val="null3"/>
              <w:spacing w:before="45"/>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91"/>
              <w:gridCol w:w="278"/>
              <w:gridCol w:w="1491"/>
            </w:tblGrid>
            <w:tr>
              <w:tc>
                <w:tcPr>
                  <w:tcW w:type="dxa" w:w="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序号</w:t>
                  </w:r>
                </w:p>
              </w:tc>
              <w:tc>
                <w:tcPr>
                  <w:tcW w:type="dxa" w:w="2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要求项目</w:t>
                  </w:r>
                </w:p>
              </w:tc>
              <w:tc>
                <w:tcPr>
                  <w:tcW w:type="dxa" w:w="14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要求内容</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1</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及时办理付款</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签订合同后2025年底前到账</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2</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时间要求</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数据库服务时间为2025.7.1-2026.6.30</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3</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信息整理</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配合图书馆整理发布使用统计等信息</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4</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信息采集</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配合图书馆提供和填报数据库相关信息</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5</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培训宣传工作</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协助图书馆开展培训活动，每年不少于4次，提供宣传单页和易拉宝等宣传物料；</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6</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正常访问</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保证数据库能够学校IP段内7×24小时在线访问</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7</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维修</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免费保修壹年，终身维护，配合图书馆的要求做到维护</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标的名称：第四包：起点考试</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spacing w:before="45"/>
              <w:jc w:val="both"/>
            </w:pPr>
            <w:r>
              <w:rPr>
                <w:rFonts w:ascii="仿宋_GB2312" w:hAnsi="仿宋_GB2312" w:cs="仿宋_GB2312" w:eastAsia="仿宋_GB2312"/>
              </w:rPr>
              <w:t>第四包：起点考试</w:t>
            </w:r>
          </w:p>
          <w:tbl>
            <w:tblPr>
              <w:tblInd w:type="dxa" w:w="120"/>
              <w:tblBorders>
                <w:top w:val="none" w:color="000000" w:sz="4"/>
                <w:left w:val="none" w:color="000000" w:sz="4"/>
                <w:bottom w:val="none" w:color="000000" w:sz="4"/>
                <w:right w:val="none" w:color="000000" w:sz="4"/>
                <w:insideH w:val="none"/>
                <w:insideV w:val="none"/>
              </w:tblBorders>
            </w:tblPr>
            <w:tblGrid>
              <w:gridCol w:w="150"/>
              <w:gridCol w:w="125"/>
              <w:gridCol w:w="1585"/>
            </w:tblGrid>
            <w:tr>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内容</w:t>
                  </w:r>
                </w:p>
              </w:tc>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并发数</w:t>
                  </w:r>
                </w:p>
              </w:tc>
              <w:tc>
                <w:tcPr>
                  <w:tcW w:type="dxa" w:w="1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参数和要求</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起点考试网</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无</w:t>
                  </w:r>
                </w:p>
              </w:tc>
              <w:tc>
                <w:tcPr>
                  <w:tcW w:type="dxa" w:w="1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1.须支持PC端、微信移动端多种使用方式。</w:t>
                  </w:r>
                </w:p>
                <w:p>
                  <w:pPr>
                    <w:pStyle w:val="null3"/>
                    <w:spacing w:before="45"/>
                    <w:jc w:val="both"/>
                  </w:pPr>
                  <w:r>
                    <w:rPr>
                      <w:rFonts w:ascii="仿宋_GB2312" w:hAnsi="仿宋_GB2312" w:cs="仿宋_GB2312" w:eastAsia="仿宋_GB2312"/>
                      <w:sz w:val="19"/>
                    </w:rPr>
                    <w:t>2.试题包括语言类、职业资格类、计算机类、公务员类、研究生类等类别，覆盖至少150个门类、600个以上专业科目。试题内容为历年各行业考试的完整真题和完整模拟题，试卷总量达到25万套以上。视频课件内容包括外语类、法律类等8大学科类别45000余课时。</w:t>
                  </w:r>
                </w:p>
                <w:p>
                  <w:pPr>
                    <w:pStyle w:val="null3"/>
                    <w:spacing w:before="45"/>
                    <w:jc w:val="both"/>
                  </w:pPr>
                  <w:r>
                    <w:rPr>
                      <w:rFonts w:ascii="仿宋_GB2312" w:hAnsi="仿宋_GB2312" w:cs="仿宋_GB2312" w:eastAsia="仿宋_GB2312"/>
                      <w:sz w:val="19"/>
                    </w:rPr>
                    <w:t>4.免费为用户提供馆内宣传及推广。</w:t>
                  </w:r>
                </w:p>
                <w:p>
                  <w:pPr>
                    <w:pStyle w:val="null3"/>
                    <w:spacing w:before="45"/>
                    <w:jc w:val="both"/>
                  </w:pPr>
                  <w:r>
                    <w:rPr>
                      <w:rFonts w:ascii="仿宋_GB2312" w:hAnsi="仿宋_GB2312" w:cs="仿宋_GB2312" w:eastAsia="仿宋_GB2312"/>
                      <w:sz w:val="19"/>
                    </w:rPr>
                    <w:t>5.免费安装调试、人员培训、技术支持。定期进行用户回访，及时处理用户意见。</w:t>
                  </w:r>
                </w:p>
                <w:p>
                  <w:pPr>
                    <w:pStyle w:val="null3"/>
                    <w:spacing w:before="45"/>
                    <w:jc w:val="both"/>
                  </w:pPr>
                  <w:r>
                    <w:rPr>
                      <w:rFonts w:ascii="仿宋_GB2312" w:hAnsi="仿宋_GB2312" w:cs="仿宋_GB2312" w:eastAsia="仿宋_GB2312"/>
                      <w:sz w:val="19"/>
                    </w:rPr>
                    <w:t>6.课程内容为原创资源，拥有自主知识产权；无意识形态问题；</w:t>
                  </w:r>
                </w:p>
              </w:tc>
            </w:tr>
          </w:tbl>
          <w:p>
            <w:pPr>
              <w:pStyle w:val="null3"/>
              <w:spacing w:before="45"/>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91"/>
              <w:gridCol w:w="278"/>
              <w:gridCol w:w="1491"/>
            </w:tblGrid>
            <w:tr>
              <w:tc>
                <w:tcPr>
                  <w:tcW w:type="dxa" w:w="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序号</w:t>
                  </w:r>
                </w:p>
              </w:tc>
              <w:tc>
                <w:tcPr>
                  <w:tcW w:type="dxa" w:w="2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要求项目</w:t>
                  </w:r>
                </w:p>
              </w:tc>
              <w:tc>
                <w:tcPr>
                  <w:tcW w:type="dxa" w:w="14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要求内容</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1</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及时办理付款</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签订合同后2025年底前到账；</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2</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时间要求</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数据库服务时间为2025.7.1-2026.6.30</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3</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信息整理</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配合图书馆整理发布使用统计等信息</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4</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信息采集</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配合数据库商提供和填报数据库相关信息</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5</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培训宣传工作</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协助图书馆开展培训活动，每年不少于4次，提供宣传单页和易拉宝等宣传物料；</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6</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正常访问</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保证数据库能够学校IP段内7×24小时在线访问</w:t>
                  </w:r>
                </w:p>
              </w:tc>
            </w:tr>
            <w:tr>
              <w:tc>
                <w:tcPr>
                  <w:tcW w:type="dxa" w:w="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7</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维修</w:t>
                  </w:r>
                </w:p>
              </w:tc>
              <w:tc>
                <w:tcPr>
                  <w:tcW w:type="dxa" w:w="14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仿宋_GB2312" w:hAnsi="仿宋_GB2312" w:cs="仿宋_GB2312" w:eastAsia="仿宋_GB2312"/>
                      <w:sz w:val="19"/>
                    </w:rPr>
                    <w:t>免费保修壹年，终身维护，配合图书馆的要求做到维护</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标的名称：第五包：中国近代教材库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spacing w:before="45"/>
              <w:jc w:val="both"/>
            </w:pPr>
            <w:r>
              <w:rPr>
                <w:rFonts w:ascii="仿宋_GB2312" w:hAnsi="仿宋_GB2312" w:cs="仿宋_GB2312" w:eastAsia="仿宋_GB2312"/>
              </w:rPr>
              <w:t>第五包：中国近代教材库</w:t>
            </w:r>
          </w:p>
          <w:tbl>
            <w:tblPr>
              <w:tblInd w:type="dxa" w:w="120"/>
              <w:tblBorders>
                <w:top w:val="none" w:color="000000" w:sz="4"/>
                <w:left w:val="none" w:color="000000" w:sz="4"/>
                <w:bottom w:val="none" w:color="000000" w:sz="4"/>
                <w:right w:val="none" w:color="000000" w:sz="4"/>
                <w:insideH w:val="none"/>
                <w:insideV w:val="none"/>
              </w:tblBorders>
            </w:tblPr>
            <w:tblGrid>
              <w:gridCol w:w="250"/>
              <w:gridCol w:w="171"/>
              <w:gridCol w:w="1439"/>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内容</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并发数</w:t>
                  </w:r>
                </w:p>
              </w:tc>
              <w:tc>
                <w:tcPr>
                  <w:tcW w:type="dxa" w:w="1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参数和要求</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中国近代教材</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无</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1.收录从晚清至民国时期的各类教育的全部教科书及教学参考书籍。</w:t>
                  </w:r>
                </w:p>
                <w:p>
                  <w:pPr>
                    <w:pStyle w:val="null3"/>
                    <w:spacing w:before="45"/>
                    <w:jc w:val="both"/>
                  </w:pPr>
                  <w:r>
                    <w:rPr>
                      <w:rFonts w:ascii="仿宋_GB2312" w:hAnsi="仿宋_GB2312" w:cs="仿宋_GB2312" w:eastAsia="仿宋_GB2312"/>
                      <w:sz w:val="19"/>
                    </w:rPr>
                    <w:t>2.资源覆盖学前教育、初等教育、中等教育、高等教育、师范教育、职业教育等十二  大类。</w:t>
                  </w:r>
                </w:p>
                <w:p>
                  <w:pPr>
                    <w:pStyle w:val="null3"/>
                    <w:spacing w:before="45"/>
                    <w:jc w:val="both"/>
                  </w:pPr>
                  <w:r>
                    <w:rPr>
                      <w:rFonts w:ascii="仿宋_GB2312" w:hAnsi="仿宋_GB2312" w:cs="仿宋_GB2312" w:eastAsia="仿宋_GB2312"/>
                      <w:sz w:val="19"/>
                    </w:rPr>
                    <w:t>3.数据总量：14000册；每年更新约800册；本地安装800册；</w:t>
                  </w:r>
                </w:p>
                <w:p>
                  <w:pPr>
                    <w:pStyle w:val="null3"/>
                    <w:spacing w:before="45"/>
                    <w:jc w:val="both"/>
                  </w:pPr>
                  <w:r>
                    <w:rPr>
                      <w:rFonts w:ascii="仿宋_GB2312" w:hAnsi="仿宋_GB2312" w:cs="仿宋_GB2312" w:eastAsia="仿宋_GB2312"/>
                      <w:sz w:val="19"/>
                    </w:rPr>
                    <w:t>4.远程访问，对全校IP开放。用户在限定IP范围内不限并发数，版权问题由供应商负责，内容无意识形态问题；</w:t>
                  </w:r>
                </w:p>
                <w:p>
                  <w:pPr>
                    <w:pStyle w:val="null3"/>
                    <w:spacing w:before="45"/>
                    <w:jc w:val="both"/>
                  </w:pPr>
                  <w:r>
                    <w:rPr>
                      <w:rFonts w:ascii="仿宋_GB2312" w:hAnsi="仿宋_GB2312" w:cs="仿宋_GB2312" w:eastAsia="仿宋_GB2312"/>
                      <w:sz w:val="19"/>
                    </w:rPr>
                    <w:t>5.数据库使用中出现任何问题保证2小时内作出响应，48小时内解决问题。</w:t>
                  </w:r>
                </w:p>
              </w:tc>
            </w:tr>
          </w:tbl>
          <w:p>
            <w:pPr>
              <w:pStyle w:val="null3"/>
              <w:spacing w:before="45"/>
              <w:jc w:val="both"/>
            </w:pPr>
            <w:r>
              <w:rPr>
                <w:rFonts w:ascii="仿宋_GB2312" w:hAnsi="仿宋_GB2312" w:cs="仿宋_GB2312" w:eastAsia="仿宋_GB2312"/>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150"/>
              <w:gridCol w:w="273"/>
              <w:gridCol w:w="1437"/>
            </w:tblGrid>
            <w:tr>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序号</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要求项目</w:t>
                  </w:r>
                </w:p>
              </w:tc>
              <w:tc>
                <w:tcPr>
                  <w:tcW w:type="dxa" w:w="1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要求内容</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及时办理付款</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签订合同后2025年底前到账；</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2</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时间要求</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数据库服务时间为2025.9.28-2026.9.27</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3</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信息整理</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配合图书馆整理发布使用统计等信息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4</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信息采集</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配合图书馆提供和填报数据库相关信息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5</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培训宣传工作</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协助图书馆开展培训活动，每年不少于4次，提供宣传单页和易拉宝等宣传物料；</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6</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正常访问</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保证数据库能够学校IP段内7×24小时在线访问</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7</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维修</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免费保修壹年，终身维护，配合图书馆的要求做到维护</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标的名称：第六包：世界名校精品课和艺术库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spacing w:before="45"/>
              <w:jc w:val="both"/>
            </w:pPr>
            <w:r>
              <w:rPr>
                <w:rFonts w:ascii="仿宋_GB2312" w:hAnsi="仿宋_GB2312" w:cs="仿宋_GB2312" w:eastAsia="仿宋_GB2312"/>
              </w:rPr>
              <w:t>第六包：世界名校精品课和艺术库</w:t>
            </w:r>
          </w:p>
          <w:tbl>
            <w:tblPr>
              <w:tblInd w:type="dxa" w:w="120"/>
              <w:tblBorders>
                <w:top w:val="none" w:color="000000" w:sz="4"/>
                <w:left w:val="none" w:color="000000" w:sz="4"/>
                <w:bottom w:val="none" w:color="000000" w:sz="4"/>
                <w:right w:val="none" w:color="000000" w:sz="4"/>
                <w:insideH w:val="none"/>
                <w:insideV w:val="none"/>
              </w:tblBorders>
            </w:tblPr>
            <w:tblGrid>
              <w:gridCol w:w="184"/>
              <w:gridCol w:w="141"/>
              <w:gridCol w:w="1536"/>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内容</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并发数</w:t>
                  </w:r>
                </w:p>
              </w:tc>
              <w:tc>
                <w:tcPr>
                  <w:tcW w:type="dxa" w:w="1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参数和要求</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世界名校精品课</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无</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1.汇聚耶鲁大学、哈佛大学、等世界顶尖级大学的精品课程。共有2461门，3TB。</w:t>
                  </w:r>
                </w:p>
                <w:p>
                  <w:pPr>
                    <w:pStyle w:val="null3"/>
                    <w:spacing w:before="45"/>
                    <w:jc w:val="both"/>
                  </w:pPr>
                  <w:r>
                    <w:rPr>
                      <w:rFonts w:ascii="仿宋_GB2312" w:hAnsi="仿宋_GB2312" w:cs="仿宋_GB2312" w:eastAsia="仿宋_GB2312"/>
                      <w:sz w:val="19"/>
                    </w:rPr>
                    <w:t>2.要求供应商视频采用H5+Flash Video技术进行视频媒体的传播，用户无需安装任何软件(如Real Player，Windows Media Player等)即可实现在线观看。需采用标准HTTP协议，全面实现对多网卡、跨网段、跨路由、跨防火墙的支持。单服务器支持1000并发流（无缓冲）.</w:t>
                  </w:r>
                </w:p>
                <w:p>
                  <w:pPr>
                    <w:pStyle w:val="null3"/>
                    <w:spacing w:before="45"/>
                    <w:jc w:val="both"/>
                  </w:pPr>
                  <w:r>
                    <w:rPr>
                      <w:rFonts w:ascii="仿宋_GB2312" w:hAnsi="仿宋_GB2312" w:cs="仿宋_GB2312" w:eastAsia="仿宋_GB2312"/>
                      <w:sz w:val="19"/>
                    </w:rPr>
                    <w:t>3.远程访问，对全校IP开放。用户在限定IP范围内不限并发数。版权问题由供应商负责；内容无意识形态问题；</w:t>
                  </w:r>
                </w:p>
                <w:p>
                  <w:pPr>
                    <w:pStyle w:val="null3"/>
                    <w:spacing w:before="45"/>
                    <w:jc w:val="both"/>
                  </w:pPr>
                  <w:r>
                    <w:rPr>
                      <w:rFonts w:ascii="仿宋_GB2312" w:hAnsi="仿宋_GB2312" w:cs="仿宋_GB2312" w:eastAsia="仿宋_GB2312"/>
                      <w:sz w:val="19"/>
                    </w:rPr>
                    <w:t>4.数据库使用中出现任何问题保证2小时内作出响应，48小时内解决问题。</w:t>
                  </w:r>
                </w:p>
                <w:p>
                  <w:pPr>
                    <w:pStyle w:val="null3"/>
                    <w:spacing w:before="45"/>
                    <w:jc w:val="both"/>
                  </w:pPr>
                  <w:r>
                    <w:rPr>
                      <w:rFonts w:ascii="仿宋_GB2312" w:hAnsi="仿宋_GB2312" w:cs="仿宋_GB2312" w:eastAsia="仿宋_GB2312"/>
                      <w:sz w:val="19"/>
                    </w:rPr>
                    <w:t>5.保证数据库能够学校IP段内7×24小时在线访问。</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艺术库</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无</w:t>
                  </w:r>
                </w:p>
              </w:tc>
              <w:tc>
                <w:tcPr>
                  <w:tcW w:type="dxa" w:w="1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1.涵盖了音乐会、歌剧、舞剧、舞蹈、戏曲等综合艺术2061门,1.5TB以及中国历代馆藏书画和世界油画各一万幅。</w:t>
                  </w:r>
                </w:p>
                <w:p>
                  <w:pPr>
                    <w:pStyle w:val="null3"/>
                    <w:spacing w:before="45"/>
                    <w:jc w:val="both"/>
                  </w:pPr>
                  <w:r>
                    <w:rPr>
                      <w:rFonts w:ascii="仿宋_GB2312" w:hAnsi="仿宋_GB2312" w:cs="仿宋_GB2312" w:eastAsia="仿宋_GB2312"/>
                      <w:sz w:val="19"/>
                    </w:rPr>
                    <w:t>2.要求供应商视频采用H5+Flash Video技术进行视频媒体的传播，用户无需安装任何软件(如Real Player，Windows Media Player等)即可实现在线观看。需采用标准HTTP协议，全面实现对多网卡、跨网段、跨路由、跨防火墙的支持。单服务器支持1000并发流（无缓冲）.</w:t>
                  </w:r>
                </w:p>
                <w:p>
                  <w:pPr>
                    <w:pStyle w:val="null3"/>
                    <w:spacing w:before="45"/>
                    <w:jc w:val="both"/>
                  </w:pPr>
                  <w:r>
                    <w:rPr>
                      <w:rFonts w:ascii="仿宋_GB2312" w:hAnsi="仿宋_GB2312" w:cs="仿宋_GB2312" w:eastAsia="仿宋_GB2312"/>
                      <w:sz w:val="19"/>
                    </w:rPr>
                    <w:t>3.远程访问，对全校IP开放。用户在限定IP范围内不限并发数。版权问题由供应商负责；内容无意识形态问题；</w:t>
                  </w:r>
                </w:p>
                <w:p>
                  <w:pPr>
                    <w:pStyle w:val="null3"/>
                    <w:spacing w:before="45"/>
                    <w:jc w:val="both"/>
                  </w:pPr>
                  <w:r>
                    <w:rPr>
                      <w:rFonts w:ascii="仿宋_GB2312" w:hAnsi="仿宋_GB2312" w:cs="仿宋_GB2312" w:eastAsia="仿宋_GB2312"/>
                      <w:sz w:val="19"/>
                    </w:rPr>
                    <w:t>4.数据库使用中出现任何问题保证2小时内作出响应，48小时内解决问题。</w:t>
                  </w:r>
                </w:p>
                <w:p>
                  <w:pPr>
                    <w:pStyle w:val="null3"/>
                    <w:spacing w:before="45"/>
                    <w:jc w:val="both"/>
                  </w:pPr>
                  <w:r>
                    <w:rPr>
                      <w:rFonts w:ascii="仿宋_GB2312" w:hAnsi="仿宋_GB2312" w:cs="仿宋_GB2312" w:eastAsia="仿宋_GB2312"/>
                      <w:sz w:val="19"/>
                    </w:rPr>
                    <w:t>5.保证数据库能够学校IP段内7×24小时在线访问。</w:t>
                  </w:r>
                </w:p>
              </w:tc>
            </w:tr>
          </w:tbl>
          <w:p>
            <w:pPr>
              <w:pStyle w:val="null3"/>
              <w:spacing w:before="45"/>
              <w:jc w:val="both"/>
            </w:pPr>
            <w:r>
              <w:rPr>
                <w:rFonts w:ascii="仿宋_GB2312" w:hAnsi="仿宋_GB2312" w:cs="仿宋_GB2312" w:eastAsia="仿宋_GB2312"/>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146"/>
              <w:gridCol w:w="252"/>
              <w:gridCol w:w="1463"/>
            </w:tblGrid>
            <w:tr>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序号</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要求项目</w:t>
                  </w:r>
                </w:p>
              </w:tc>
              <w:tc>
                <w:tcPr>
                  <w:tcW w:type="dxa" w:w="1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要求内容</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及时办理付款</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签订合同后2025年底前到账</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2</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时间要求</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世界名校精品课数据库服务时间为2025.7.1-2026.6.30，艺术库服务时间为2025.10.1-2026.9.30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3</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信息整理</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配合图书馆整理发布使用统计等信息</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4</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信息采集</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配合图书馆提供和填报数据库相关信息</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5</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培训宣传工作</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协助图书馆开展培训活动，每年不少于4次，提供宣传单页和易拉宝等宣传物料；</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6</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正常访问</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保证数据库能够学校IP段内7×24小时在线访问</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7</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维修</w:t>
                  </w:r>
                </w:p>
              </w:tc>
              <w:tc>
                <w:tcPr>
                  <w:tcW w:type="dxa" w:w="1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免费保修壹年，终身维护，配合图书馆的要求做到维护;一体机内容更新和设备维护。</w:t>
                  </w:r>
                </w:p>
              </w:tc>
            </w:tr>
          </w:tbl>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标的名称：第七包：库客音乐数据库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spacing w:before="45"/>
              <w:jc w:val="both"/>
            </w:pPr>
            <w:r>
              <w:rPr>
                <w:rFonts w:ascii="仿宋_GB2312" w:hAnsi="仿宋_GB2312" w:cs="仿宋_GB2312" w:eastAsia="仿宋_GB2312"/>
              </w:rPr>
              <w:t>第七包：库客音乐数据库</w:t>
            </w:r>
          </w:p>
          <w:tbl>
            <w:tblPr>
              <w:tblInd w:type="dxa" w:w="120"/>
              <w:tblBorders>
                <w:top w:val="none" w:color="000000" w:sz="4"/>
                <w:left w:val="none" w:color="000000" w:sz="4"/>
                <w:bottom w:val="none" w:color="000000" w:sz="4"/>
                <w:right w:val="none" w:color="000000" w:sz="4"/>
                <w:insideH w:val="none"/>
                <w:insideV w:val="none"/>
              </w:tblBorders>
            </w:tblPr>
            <w:tblGrid>
              <w:gridCol w:w="216"/>
              <w:gridCol w:w="279"/>
              <w:gridCol w:w="1365"/>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内容</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并发数</w:t>
                  </w:r>
                </w:p>
              </w:tc>
              <w:tc>
                <w:tcPr>
                  <w:tcW w:type="dxa" w:w="1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参数和要求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库客音乐数据库</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古典音乐、有声读物不限并发</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内容：古典音乐涵盖世界上绝大部分的古典音乐资源，包括交响乐、室内乐、歌剧、芭蕾、协奏曲、乐器独奏等古典音乐种类，亚洲、欧洲、非洲、大洋洲、美洲的众多国家独具特色的民族风情音乐，以及人民音乐、影视音乐、轻音乐、爵士音乐、儿童音乐等音乐曲风；有声读物：内容涵盖了儿童文学、诗歌名著、小说、历史传记等经典作品，目前已被众多院校作为英语口语视听课件使用。中文读物有唐诗、宋词等朗诵作品，并配以优美的中国民乐作配乐，风格优雅清新。</w:t>
                  </w:r>
                </w:p>
                <w:p>
                  <w:pPr>
                    <w:pStyle w:val="null3"/>
                    <w:spacing w:before="45"/>
                    <w:jc w:val="both"/>
                  </w:pPr>
                  <w:r>
                    <w:rPr>
                      <w:rFonts w:ascii="仿宋_GB2312" w:hAnsi="仿宋_GB2312" w:cs="仿宋_GB2312" w:eastAsia="仿宋_GB2312"/>
                      <w:sz w:val="19"/>
                    </w:rPr>
                    <w:t>2.资源量：古典音乐共汇聚了中世纪到近现代30,000多位艺术家、100多种乐器的音乐作品，共190多万首曲目。有声读物近6500张CD分为英语读物和中文读物两部分。英语读物由英国BBC广播电台、美国ABC广播电台当红主播亲自朗读，结合丰富的古典音乐配乐，在形式上很受大众的喜爱。</w:t>
                  </w:r>
                </w:p>
                <w:p>
                  <w:pPr>
                    <w:pStyle w:val="null3"/>
                    <w:spacing w:before="45"/>
                    <w:jc w:val="both"/>
                  </w:pPr>
                  <w:r>
                    <w:rPr>
                      <w:rFonts w:ascii="仿宋_GB2312" w:hAnsi="仿宋_GB2312" w:cs="仿宋_GB2312" w:eastAsia="仿宋_GB2312"/>
                      <w:sz w:val="19"/>
                    </w:rPr>
                    <w:t>3.所有内容版权无纠纷；内容无意识形态问题；</w:t>
                  </w:r>
                </w:p>
                <w:p>
                  <w:pPr>
                    <w:pStyle w:val="null3"/>
                    <w:spacing w:before="45"/>
                    <w:jc w:val="both"/>
                  </w:pPr>
                  <w:r>
                    <w:rPr>
                      <w:rFonts w:ascii="仿宋_GB2312" w:hAnsi="仿宋_GB2312" w:cs="仿宋_GB2312" w:eastAsia="仿宋_GB2312"/>
                      <w:sz w:val="19"/>
                    </w:rPr>
                    <w:t>4.服务期限内IP包库开通；</w:t>
                  </w:r>
                </w:p>
                <w:p>
                  <w:pPr>
                    <w:pStyle w:val="null3"/>
                    <w:spacing w:before="45"/>
                    <w:jc w:val="both"/>
                  </w:pPr>
                  <w:r>
                    <w:rPr>
                      <w:rFonts w:ascii="仿宋_GB2312" w:hAnsi="仿宋_GB2312" w:cs="仿宋_GB2312" w:eastAsia="仿宋_GB2312"/>
                      <w:sz w:val="19"/>
                    </w:rPr>
                    <w:t>5.全部内容远程全文访问、浏览；下载；</w:t>
                  </w:r>
                </w:p>
                <w:p>
                  <w:pPr>
                    <w:pStyle w:val="null3"/>
                    <w:spacing w:before="45"/>
                    <w:jc w:val="both"/>
                  </w:pPr>
                  <w:r>
                    <w:rPr>
                      <w:rFonts w:ascii="仿宋_GB2312" w:hAnsi="仿宋_GB2312" w:cs="仿宋_GB2312" w:eastAsia="仿宋_GB2312"/>
                      <w:sz w:val="19"/>
                    </w:rPr>
                    <w:t xml:space="preserve">6.实时更新，访问问题及时答复 </w:t>
                  </w:r>
                </w:p>
              </w:tc>
            </w:tr>
          </w:tbl>
          <w:p>
            <w:pPr>
              <w:pStyle w:val="null3"/>
              <w:spacing w:before="45"/>
              <w:jc w:val="both"/>
            </w:pPr>
            <w:r>
              <w:rPr>
                <w:rFonts w:ascii="仿宋_GB2312" w:hAnsi="仿宋_GB2312" w:cs="仿宋_GB2312" w:eastAsia="仿宋_GB2312"/>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150"/>
              <w:gridCol w:w="276"/>
              <w:gridCol w:w="1434"/>
            </w:tblGrid>
            <w:tr>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序号</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要求项目</w:t>
                  </w:r>
                </w:p>
              </w:tc>
              <w:tc>
                <w:tcPr>
                  <w:tcW w:type="dxa" w:w="1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要求内容</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及时办理付款</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签订合同后2025年底前到账</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2</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时间要求</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数据库服务时间为2025.7.1-2026.6.30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3</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信息整理</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配合图书馆整理发布使用统计等信息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4</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信息采集</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配合图书馆提供和填报数据库相关信息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5</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培训宣传工作</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协助图书馆开展培训活动，每年不少于2次，提供宣传单页和易拉宝等宣传物料；</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6</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正常访问</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保证数据库能够学校IP段内7×24小时在线访问</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7</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维修</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免费保修壹年，终身维护，配合图书馆的要求做到维护</w:t>
                  </w:r>
                </w:p>
              </w:tc>
            </w:tr>
          </w:tbl>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标的名称：第八包：掌阅精选数字阅读平台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spacing w:before="45"/>
              <w:jc w:val="both"/>
            </w:pPr>
            <w:r>
              <w:rPr>
                <w:rFonts w:ascii="仿宋_GB2312" w:hAnsi="仿宋_GB2312" w:cs="仿宋_GB2312" w:eastAsia="仿宋_GB2312"/>
              </w:rPr>
              <w:t>第八包：掌阅精选数字阅读平台</w:t>
            </w:r>
          </w:p>
          <w:tbl>
            <w:tblPr>
              <w:tblInd w:type="dxa" w:w="120"/>
              <w:tblBorders>
                <w:top w:val="none" w:color="000000" w:sz="4"/>
                <w:left w:val="none" w:color="000000" w:sz="4"/>
                <w:bottom w:val="none" w:color="000000" w:sz="4"/>
                <w:right w:val="none" w:color="000000" w:sz="4"/>
                <w:insideH w:val="none"/>
                <w:insideV w:val="none"/>
              </w:tblBorders>
            </w:tblPr>
            <w:tblGrid>
              <w:gridCol w:w="216"/>
              <w:gridCol w:w="279"/>
              <w:gridCol w:w="1365"/>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内容</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并发数</w:t>
                  </w:r>
                </w:p>
              </w:tc>
              <w:tc>
                <w:tcPr>
                  <w:tcW w:type="dxa" w:w="1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参数和要求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掌阅精选数字阅读平台</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无</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1.包含文学、艺术、社会科学、历史、哲学、心理学、法律等多学科近五年优质电子图书2万余种；有声图书2万</w:t>
                  </w:r>
                </w:p>
                <w:p>
                  <w:pPr>
                    <w:pStyle w:val="null3"/>
                    <w:spacing w:before="45"/>
                    <w:jc w:val="both"/>
                  </w:pPr>
                  <w:r>
                    <w:rPr>
                      <w:rFonts w:ascii="仿宋_GB2312" w:hAnsi="仿宋_GB2312" w:cs="仿宋_GB2312" w:eastAsia="仿宋_GB2312"/>
                      <w:sz w:val="19"/>
                    </w:rPr>
                    <w:t>2.所有电子图书均为ePub格式，有声图书为MP3格式；</w:t>
                  </w:r>
                </w:p>
                <w:p>
                  <w:pPr>
                    <w:pStyle w:val="null3"/>
                    <w:spacing w:before="45"/>
                    <w:jc w:val="both"/>
                  </w:pPr>
                  <w:r>
                    <w:rPr>
                      <w:rFonts w:ascii="仿宋_GB2312" w:hAnsi="仿宋_GB2312" w:cs="仿宋_GB2312" w:eastAsia="仿宋_GB2312"/>
                      <w:sz w:val="19"/>
                    </w:rPr>
                    <w:t>3.支持互联网访问模式，支持PC端、H5端、APP端多端阅读方式；</w:t>
                  </w:r>
                </w:p>
                <w:p>
                  <w:pPr>
                    <w:pStyle w:val="null3"/>
                    <w:spacing w:before="45"/>
                    <w:jc w:val="both"/>
                  </w:pPr>
                  <w:r>
                    <w:rPr>
                      <w:rFonts w:ascii="仿宋_GB2312" w:hAnsi="仿宋_GB2312" w:cs="仿宋_GB2312" w:eastAsia="仿宋_GB2312"/>
                      <w:sz w:val="19"/>
                    </w:rPr>
                    <w:t>4.支持开放接口做统一用户认证，也支持通过PC端或H5端专属图书馆注册登录;</w:t>
                  </w:r>
                </w:p>
                <w:p>
                  <w:pPr>
                    <w:pStyle w:val="null3"/>
                    <w:spacing w:before="45"/>
                    <w:jc w:val="both"/>
                  </w:pPr>
                  <w:r>
                    <w:rPr>
                      <w:rFonts w:ascii="仿宋_GB2312" w:hAnsi="仿宋_GB2312" w:cs="仿宋_GB2312" w:eastAsia="仿宋_GB2312"/>
                      <w:sz w:val="19"/>
                    </w:rPr>
                    <w:t>5.支持按书名、作者、出版社等关键字搜索；</w:t>
                  </w:r>
                </w:p>
                <w:p>
                  <w:pPr>
                    <w:pStyle w:val="null3"/>
                    <w:spacing w:before="45"/>
                    <w:jc w:val="both"/>
                  </w:pPr>
                  <w:r>
                    <w:rPr>
                      <w:rFonts w:ascii="仿宋_GB2312" w:hAnsi="仿宋_GB2312" w:cs="仿宋_GB2312" w:eastAsia="仿宋_GB2312"/>
                      <w:sz w:val="19"/>
                    </w:rPr>
                    <w:t>6.支持记录上次阅读/听书功能；</w:t>
                  </w:r>
                </w:p>
                <w:p>
                  <w:pPr>
                    <w:pStyle w:val="null3"/>
                    <w:spacing w:before="45"/>
                    <w:jc w:val="both"/>
                  </w:pPr>
                  <w:r>
                    <w:rPr>
                      <w:rFonts w:ascii="仿宋_GB2312" w:hAnsi="仿宋_GB2312" w:cs="仿宋_GB2312" w:eastAsia="仿宋_GB2312"/>
                      <w:sz w:val="19"/>
                    </w:rPr>
                    <w:t>7.年更新不少于2000种图书。</w:t>
                  </w:r>
                </w:p>
              </w:tc>
            </w:tr>
          </w:tbl>
          <w:p>
            <w:pPr>
              <w:pStyle w:val="null3"/>
              <w:spacing w:before="45"/>
              <w:jc w:val="both"/>
            </w:pPr>
            <w:r>
              <w:rPr>
                <w:rFonts w:ascii="仿宋_GB2312" w:hAnsi="仿宋_GB2312" w:cs="仿宋_GB2312" w:eastAsia="仿宋_GB2312"/>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150"/>
              <w:gridCol w:w="276"/>
              <w:gridCol w:w="1434"/>
            </w:tblGrid>
            <w:tr>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序号</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要求项目</w:t>
                  </w:r>
                </w:p>
              </w:tc>
              <w:tc>
                <w:tcPr>
                  <w:tcW w:type="dxa" w:w="1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要求内容</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及时办理付款</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签订合同后2025年底前到账</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2</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时间要求</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数据库服务时间为2025.7.1-2026.6.30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3</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信息整理</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配合图书馆整理发布使用统计等信息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4</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信息采集</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配合图书馆提供和填报数据库相关信息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5</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培训宣传工作</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协助图书馆开展培训活动，每年不少于1次，提供宣传单页和易拉宝等宣传物料；</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6</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正常访问</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保证数据库能够学校范围内7×24小时在线访问</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7</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维修</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免费保修壹年，配合图书馆的要求做到维护</w:t>
                  </w:r>
                </w:p>
              </w:tc>
            </w:tr>
          </w:tbl>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标的名称：第九包：EBSCO外文数据库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spacing w:before="45"/>
              <w:jc w:val="both"/>
            </w:pPr>
            <w:r>
              <w:rPr>
                <w:rFonts w:ascii="仿宋_GB2312" w:hAnsi="仿宋_GB2312" w:cs="仿宋_GB2312" w:eastAsia="仿宋_GB2312"/>
              </w:rPr>
              <w:t>第九包：EBSCO外文数据库</w:t>
            </w:r>
          </w:p>
          <w:tbl>
            <w:tblPr>
              <w:tblInd w:type="dxa" w:w="120"/>
              <w:tblBorders>
                <w:top w:val="none" w:color="000000" w:sz="4"/>
                <w:left w:val="none" w:color="000000" w:sz="4"/>
                <w:bottom w:val="none" w:color="000000" w:sz="4"/>
                <w:right w:val="none" w:color="000000" w:sz="4"/>
                <w:insideH w:val="none"/>
                <w:insideV w:val="none"/>
              </w:tblBorders>
            </w:tblPr>
            <w:tblGrid>
              <w:gridCol w:w="352"/>
              <w:gridCol w:w="168"/>
              <w:gridCol w:w="1340"/>
            </w:tblGrid>
            <w:tr>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内容</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并发数</w:t>
                  </w:r>
                </w:p>
              </w:tc>
              <w:tc>
                <w:tcPr>
                  <w:tcW w:type="dxa" w:w="1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参数和要求</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EBSCO外文数据库</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无</w:t>
                  </w:r>
                </w:p>
              </w:tc>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1.内容涉及自然科学、社会科学、人文和艺术、商管财经等多种学术领域。</w:t>
                  </w:r>
                </w:p>
                <w:p>
                  <w:pPr>
                    <w:pStyle w:val="null3"/>
                    <w:spacing w:before="45"/>
                    <w:jc w:val="both"/>
                  </w:pPr>
                  <w:r>
                    <w:rPr>
                      <w:rFonts w:ascii="仿宋_GB2312" w:hAnsi="仿宋_GB2312" w:cs="仿宋_GB2312" w:eastAsia="仿宋_GB2312"/>
                      <w:sz w:val="19"/>
                    </w:rPr>
                    <w:t>2.两个主要全文数据库是：ASP和BSP。</w:t>
                  </w:r>
                </w:p>
                <w:p>
                  <w:pPr>
                    <w:pStyle w:val="null3"/>
                    <w:spacing w:before="45"/>
                    <w:jc w:val="both"/>
                  </w:pPr>
                  <w:r>
                    <w:rPr>
                      <w:rFonts w:ascii="仿宋_GB2312" w:hAnsi="仿宋_GB2312" w:cs="仿宋_GB2312" w:eastAsia="仿宋_GB2312"/>
                      <w:sz w:val="19"/>
                    </w:rPr>
                    <w:t>ASP收录近20000种刊物的索摘，4700多种全文期刊；BSP收录2200多种全文期刊，7800多种期刊索引及摘要</w:t>
                  </w:r>
                </w:p>
                <w:p>
                  <w:pPr>
                    <w:pStyle w:val="null3"/>
                    <w:spacing w:before="45"/>
                    <w:jc w:val="both"/>
                  </w:pPr>
                  <w:r>
                    <w:rPr>
                      <w:rFonts w:ascii="仿宋_GB2312" w:hAnsi="仿宋_GB2312" w:cs="仿宋_GB2312" w:eastAsia="仿宋_GB2312"/>
                      <w:sz w:val="19"/>
                    </w:rPr>
                    <w:t>3.所有内容版权无纠纷；内容无意识形态问题；</w:t>
                  </w:r>
                </w:p>
                <w:p>
                  <w:pPr>
                    <w:pStyle w:val="null3"/>
                    <w:spacing w:before="45"/>
                    <w:jc w:val="both"/>
                  </w:pPr>
                  <w:r>
                    <w:rPr>
                      <w:rFonts w:ascii="仿宋_GB2312" w:hAnsi="仿宋_GB2312" w:cs="仿宋_GB2312" w:eastAsia="仿宋_GB2312"/>
                      <w:sz w:val="19"/>
                    </w:rPr>
                    <w:t>4.服务期限内IP包库开通；</w:t>
                  </w:r>
                </w:p>
                <w:p>
                  <w:pPr>
                    <w:pStyle w:val="null3"/>
                    <w:spacing w:before="45"/>
                    <w:jc w:val="both"/>
                  </w:pPr>
                  <w:r>
                    <w:rPr>
                      <w:rFonts w:ascii="仿宋_GB2312" w:hAnsi="仿宋_GB2312" w:cs="仿宋_GB2312" w:eastAsia="仿宋_GB2312"/>
                      <w:sz w:val="19"/>
                    </w:rPr>
                    <w:t>5.全部内容远程全文访问、浏览；下载；</w:t>
                  </w:r>
                </w:p>
                <w:p>
                  <w:pPr>
                    <w:pStyle w:val="null3"/>
                    <w:spacing w:before="45"/>
                    <w:jc w:val="both"/>
                  </w:pPr>
                  <w:r>
                    <w:rPr>
                      <w:rFonts w:ascii="仿宋_GB2312" w:hAnsi="仿宋_GB2312" w:cs="仿宋_GB2312" w:eastAsia="仿宋_GB2312"/>
                      <w:sz w:val="19"/>
                    </w:rPr>
                    <w:t>6.实时更新，访问问题及时答复</w:t>
                  </w:r>
                </w:p>
              </w:tc>
            </w:tr>
          </w:tbl>
          <w:p>
            <w:pPr>
              <w:pStyle w:val="null3"/>
              <w:spacing w:before="45"/>
              <w:jc w:val="both"/>
            </w:pPr>
            <w:r>
              <w:rPr>
                <w:rFonts w:ascii="仿宋_GB2312" w:hAnsi="仿宋_GB2312" w:cs="仿宋_GB2312" w:eastAsia="仿宋_GB2312"/>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150"/>
              <w:gridCol w:w="276"/>
              <w:gridCol w:w="1434"/>
            </w:tblGrid>
            <w:tr>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序号</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要求项目</w:t>
                  </w:r>
                </w:p>
              </w:tc>
              <w:tc>
                <w:tcPr>
                  <w:tcW w:type="dxa" w:w="1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要求内容</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及时办理付款</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签订合同后2025年底前到账</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2</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时间要求</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数据库服务时间为2025.7.1-2026.6.30</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3</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信息整理</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配合图书馆整理发布使用统计等信息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4</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信息采集</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配合图书馆提供和填报数据库相关信息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5</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培训宣传工作</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协助图书馆开展培训活动，每年不少于1次，提供宣传单页和易拉宝等宣传物料；</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6</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正常访问</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保证数据库能够学校IP段内7×24小时在线访问</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7</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维修</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免费保修壹年，终身维护，配合图书馆的要求做到维护</w:t>
                  </w:r>
                </w:p>
              </w:tc>
            </w:tr>
          </w:tbl>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标的名称：第十包：Springer斯普林格外文科技期刊</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spacing w:before="45"/>
              <w:jc w:val="both"/>
            </w:pPr>
            <w:r>
              <w:rPr>
                <w:rFonts w:ascii="仿宋_GB2312" w:hAnsi="仿宋_GB2312" w:cs="仿宋_GB2312" w:eastAsia="仿宋_GB2312"/>
              </w:rPr>
              <w:t>第十包：Springer斯普林格外文科技期刊</w:t>
            </w:r>
          </w:p>
          <w:tbl>
            <w:tblPr>
              <w:tblInd w:type="dxa" w:w="120"/>
              <w:tblBorders>
                <w:top w:val="none" w:color="000000" w:sz="4"/>
                <w:left w:val="none" w:color="000000" w:sz="4"/>
                <w:bottom w:val="none" w:color="000000" w:sz="4"/>
                <w:right w:val="none" w:color="000000" w:sz="4"/>
                <w:insideH w:val="none"/>
                <w:insideV w:val="none"/>
              </w:tblBorders>
            </w:tblPr>
            <w:tblGrid>
              <w:gridCol w:w="464"/>
              <w:gridCol w:w="172"/>
              <w:gridCol w:w="1223"/>
            </w:tblGrid>
            <w:tr>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内容</w:t>
                  </w:r>
                </w:p>
              </w:tc>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并发数</w:t>
                  </w:r>
                </w:p>
              </w:tc>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参数和要求</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Springer外文科技期刊库</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无</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1.包括计算机、工程、化学、数学、经济与商业、人文与社科、等12个领域2000多种期刊；</w:t>
                  </w:r>
                </w:p>
                <w:p>
                  <w:pPr>
                    <w:pStyle w:val="null3"/>
                    <w:spacing w:before="45"/>
                    <w:jc w:val="both"/>
                  </w:pPr>
                  <w:r>
                    <w:rPr>
                      <w:rFonts w:ascii="仿宋_GB2312" w:hAnsi="仿宋_GB2312" w:cs="仿宋_GB2312" w:eastAsia="仿宋_GB2312"/>
                      <w:sz w:val="19"/>
                    </w:rPr>
                    <w:t>2.服务期限内IP包库开通；</w:t>
                  </w:r>
                </w:p>
                <w:p>
                  <w:pPr>
                    <w:pStyle w:val="null3"/>
                    <w:spacing w:before="45"/>
                    <w:jc w:val="both"/>
                  </w:pPr>
                  <w:r>
                    <w:rPr>
                      <w:rFonts w:ascii="仿宋_GB2312" w:hAnsi="仿宋_GB2312" w:cs="仿宋_GB2312" w:eastAsia="仿宋_GB2312"/>
                      <w:sz w:val="19"/>
                    </w:rPr>
                    <w:t>3.全部内容远程全文访问、浏览；下载；</w:t>
                  </w:r>
                </w:p>
                <w:p>
                  <w:pPr>
                    <w:pStyle w:val="null3"/>
                    <w:spacing w:before="45"/>
                    <w:jc w:val="both"/>
                  </w:pPr>
                  <w:r>
                    <w:rPr>
                      <w:rFonts w:ascii="仿宋_GB2312" w:hAnsi="仿宋_GB2312" w:cs="仿宋_GB2312" w:eastAsia="仿宋_GB2312"/>
                      <w:sz w:val="19"/>
                    </w:rPr>
                    <w:t>4.所有内容版权无纠纷；内容无意识形态问题；</w:t>
                  </w:r>
                </w:p>
                <w:p>
                  <w:pPr>
                    <w:pStyle w:val="null3"/>
                    <w:spacing w:before="45"/>
                    <w:jc w:val="both"/>
                  </w:pPr>
                  <w:r>
                    <w:rPr>
                      <w:rFonts w:ascii="仿宋_GB2312" w:hAnsi="仿宋_GB2312" w:cs="仿宋_GB2312" w:eastAsia="仿宋_GB2312"/>
                      <w:sz w:val="19"/>
                    </w:rPr>
                    <w:t>5.实时更新，访问问题及时答复。</w:t>
                  </w:r>
                </w:p>
              </w:tc>
            </w:tr>
          </w:tbl>
          <w:p>
            <w:pPr>
              <w:pStyle w:val="null3"/>
              <w:spacing w:before="45"/>
              <w:jc w:val="both"/>
            </w:pPr>
            <w:r>
              <w:rPr>
                <w:rFonts w:ascii="仿宋_GB2312" w:hAnsi="仿宋_GB2312" w:cs="仿宋_GB2312" w:eastAsia="仿宋_GB2312"/>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155"/>
              <w:gridCol w:w="297"/>
              <w:gridCol w:w="1408"/>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序号</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要求项目</w:t>
                  </w:r>
                </w:p>
              </w:tc>
              <w:tc>
                <w:tcPr>
                  <w:tcW w:type="dxa" w:w="1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要求内容</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1</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及时办理付款</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签订合同后2025年底前到账</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2</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时间要求</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数据库服务时间为2025年度</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3</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信息整理</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配合图书馆整理发布使用统计等信息</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4</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信息采集</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配合图书馆提供和填报数据库相关信息</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5</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培训宣传工作</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协助图书馆开展培训活动，每年不少于4次，提供宣传单页和易拉宝等宣传物料；</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6</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正常访问</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保证数据库能够学校IP段内7×24小时在线访问</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7</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维修</w:t>
                  </w:r>
                </w:p>
              </w:tc>
              <w:tc>
                <w:tcPr>
                  <w:tcW w:type="dxa" w:w="1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19"/>
                    </w:rPr>
                    <w:t>免费保修壹年，终身维护，配合图书馆的要求做到维护</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具有专业技术团队，能提供专业化技术指导。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具有专业技术团队，能提供专业化技术指导。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具有专业技术团队，能提供专业化技术指导。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具有专业技术团队，能提供专业化技术指导。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具有专业技术团队，能提供专业化技术指导。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具有专业技术团队，能提供专业化技术指导。</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具有专业技术团队，能提供专业化技术指导。</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具有专业技术团队，能提供专业化技术指导。</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具有专业技术团队，能提供专业化技术指导。</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具有专业技术团队，能提供专业化技术指导。</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满足履行合同需求。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满足履行合同需求。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满足履行合同需求。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满足履行合同需求。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满足履行合同需求。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满足履行合同需求。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满足履行合同需求。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满足履行合同需求。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满足履行合同需求。</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满足履行合同需求。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 xml:space="preserve"> 1年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西安文理学院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西安文理学院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西安文理学院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西安文理学院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西安文理学院</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西安文理学院</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西安文理学院</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西安文理学院</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西安文理学院</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西安文理学院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 ，在2025年12月31日以前</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 ，在2025年12月31日以前</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 ，在2025年12月31日以前</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验收合格后 ，在2025年12月31日以前</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验收合格后 ，在2025年12月31日以前</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验收合格后 ，在2025年12月31日以前</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验收合格后 ，在2025年12月31日以前</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验收合格后 ，在2025年12月31日以前</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验收合格后 ，在2025年12月31日以前</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验收合格后 ，在2025年12月31日以前</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按照相关标准执行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按照相关标准执行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按照相关标准执行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1、供应商所报的价格应考虑到可能发生的所有与完成本项目相关服务及履行合同义务有关的一切费用，任何有选择的报价将不予接受，按无效协商处理。 2、成交供应商在领取成交通知书前，需向采购代理机构提交加盖公章的纸质版响应文件三套，成交供应商应保持响应文件纸质版内容与系统上传内容完全一致，否则将承担一切法律责任 。</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1、供应商所报的价格应考虑到可能发生的所有与完成本项目相关服务及履行合同义务有关的一切费用，任何有选择的报价将不予接受，按无效协商处理。 2、本项目所属行业为：软件和信息技术服务业。根据《工业和信息化部、国家统计局、国家发展和改革委员会、财政部关于印发中小企业划型标准规定的通知》《工信部联企业(2011)300 号)规定的划分标准, 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3、成交供应商在领取成交通知书前，需向采购代理机构提交加盖公章的纸质版响应文件三套，成交供应商应保持响应文件纸质版内容与系统上传内容完全一致，否则将承担一切法律责任 。</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1、供应商所报的价格应考虑到可能发生的所有与完成本项目相关服务及履行合同义务有关的一切费用，任何有选择的报价将不予接受，按无效协商处理。 2、本项目所属行业为：软件和信息技术服务业。根据《工业和信息化部、国家统计局、国家发展和改革委员会、财政部关于印发中小企业划型标准规定的通知》《工信部联企业(2011)300 号)规定的划分标准, 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3、成交供应商在领取成交通知书前，需向采购代理机构提交加盖公章的纸质版响应文件三套，成交供应商应保持响应文件纸质版内容与系统上传内容完全一致，否则将承担一切法律责任 。</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1、供应商所报的价格应考虑到可能发生的所有与完成本项目相关服务及履行合同义务有关的一切费用，任何有选择的报价将不予接受，按无效协商处理。 2、本项目所属行业为：软件和信息技术服务业。根据《工业和信息化部、国家统计局、国家发展和改革委员会、财政部关于印发中小企业划型标准规定的通知》《工信部联企业(2011)300 号)规定的划分标准, 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3、成交供应商在领取成交通知书前，需向采购代理机构提交加盖公章的纸质版响应文件三套，成交供应商应保持响应文件纸质版内容与系统上传内容完全一致，否则将承担一切法律责任 。</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1、供应商所报的价格应考虑到可能发生的所有与完成本项目相关服务及履行合同义务有关的一切费用，任何有选择的报价将不予接受，按无效协商处理。 2、本项目所属行业为：软件和信息技术服务业。根据《工业和信息化部、国家统计局、国家发展和改革委员会、财政部关于印发中小企业划型标准规定的通知》《工信部联企业(2011)300 号)规定的划分标准, 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3、成交供应商在领取成交通知书前，需向采购代理机构提交加盖公章的纸质版响应文件三套，成交供应商应保持响应文件纸质版内容与系统上传内容完全一致，否则将承担一切法律责任 。</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1、供应商所报的价格应考虑到可能发生的所有与完成本项目相关服务及履行合同义务有关的一切费用，任何有选择的报价将不予接受，按无效协商处理。 2、本项目所属行业为：软件和信息技术服务业。根据《工业和信息化部、国家统计局、国家发展和改革委员会、财政部关于印发中小企业划型标准规定的通知》《工信部联企业(2011)300 号)规定的划分标准, 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3、成交供应商在领取成交通知书前，需向采购代理机构提交加盖公章的纸质版响应文件三套，成交供应商应保持响应文件纸质版内容与系统上传内容完全一致，否则将承担一切法律责任 。</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1、供应商所报的价格应考虑到可能发生的所有与完成本项目相关服务及履行合同义务有关的一切费用，任何有选择的报价将不予接受，按无效协商处理。 2、本项目所属行业为：软件和信息技术服务业。根据《工业和信息化部、国家统计局、国家发展和改革委员会、财政部关于印发中小企业划型标准规定的通知》《工信部联企业(2011)300 号)规定的划分标准, 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3、成交供应商在领取成交通知书前，需向采购代理机构提交加盖公章的纸质版响应文件三套，成交供应商应保持响应文件纸质版内容与系统上传内容完全一致，否则将承担一切法律责任 。</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1、供应商所报的价格应考虑到可能发生的所有与完成本项目相关服务及履行合同义务有关的一切费用，任何有选择的报价将不予接受，按无效协商处理。 2、本项目所属行业为：软件和信息技术服务业。根据《工业和信息化部、国家统计局、国家发展和改革委员会、财政部关于印发中小企业划型标准规定的通知》《工信部联企业(2011)300 号)规定的划分标准, 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3、成交供应商在领取成交通知书前，需向采购代理机构提交加盖公章的纸质版响应文件三套，成交供应商应保持响应文件纸质版内容与系统上传内容完全一致，否则将承担一切法律责任 。</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1、供应商所报的价格应考虑到可能发生的所有与完成本项目相关服务及履行合同义务有关的一切费用，任何有选择的报价将不予接受，按无效协商处理。 2、成交供应商在领取成交通知书前，需向采购代理机构提交加盖公章的纸质版响应文件三套，成交供应商应保持响应文件纸质版内容与系统上传内容完全一致，否则将承担一切法律责任 。</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1、供应商所报的价格应考虑到可能发生的所有与完成本项目相关服务及履行合同义务有关的一切费用，任何有选择的报价将不予接受，按无效协商处理。 2、成交供应商在领取成交通知书前，需向采购代理机构提交加盖公章的纸质版响应文件三套，成交供应商应保持响应文件纸质版内容与系统上传内容完全一致，否则将承担一切法律责任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社保资金所属日期在单一来源响应文件提交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税款所属日期在单一来源响应文件提交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响应文件内容应全面响应采购文件要求，且无未实质性的情形。</w:t>
            </w:r>
          </w:p>
        </w:tc>
        <w:tc>
          <w:tcPr>
            <w:tcW w:type="dxa" w:w="1661"/>
          </w:tcPr>
          <w:p>
            <w:pPr>
              <w:pStyle w:val="null3"/>
            </w:pPr>
            <w:r>
              <w:rPr>
                <w:rFonts w:ascii="仿宋_GB2312" w:hAnsi="仿宋_GB2312" w:cs="仿宋_GB2312" w:eastAsia="仿宋_GB2312"/>
              </w:rPr>
              <w:t>商务响应偏离表 技术（服务）方案说明书 合同条款响应偏离表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其它资料 供应商承诺书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响应文件内容应全面响应采购文件要求，且无未实质性的情形。</w:t>
            </w:r>
          </w:p>
        </w:tc>
        <w:tc>
          <w:tcPr>
            <w:tcW w:type="dxa" w:w="1661"/>
          </w:tcPr>
          <w:p>
            <w:pPr>
              <w:pStyle w:val="null3"/>
            </w:pPr>
            <w:r>
              <w:rPr>
                <w:rFonts w:ascii="仿宋_GB2312" w:hAnsi="仿宋_GB2312" w:cs="仿宋_GB2312" w:eastAsia="仿宋_GB2312"/>
              </w:rPr>
              <w:t>商务响应偏离表 技术（服务）方案说明书 合同条款响应偏离表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其它资料 供应商承诺书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响应文件内容应全面响应采购文件要求，且无未实质性的情形。</w:t>
            </w:r>
          </w:p>
        </w:tc>
        <w:tc>
          <w:tcPr>
            <w:tcW w:type="dxa" w:w="1661"/>
          </w:tcPr>
          <w:p>
            <w:pPr>
              <w:pStyle w:val="null3"/>
            </w:pPr>
            <w:r>
              <w:rPr>
                <w:rFonts w:ascii="仿宋_GB2312" w:hAnsi="仿宋_GB2312" w:cs="仿宋_GB2312" w:eastAsia="仿宋_GB2312"/>
              </w:rPr>
              <w:t>商务响应偏离表 技术（服务）方案说明书 合同条款响应偏离表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其它资料 供应商承诺书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响应文件内容应全面响应采购文件要求，且无未实质性的情形。</w:t>
            </w:r>
          </w:p>
        </w:tc>
        <w:tc>
          <w:tcPr>
            <w:tcW w:type="dxa" w:w="1661"/>
          </w:tcPr>
          <w:p>
            <w:pPr>
              <w:pStyle w:val="null3"/>
            </w:pPr>
            <w:r>
              <w:rPr>
                <w:rFonts w:ascii="仿宋_GB2312" w:hAnsi="仿宋_GB2312" w:cs="仿宋_GB2312" w:eastAsia="仿宋_GB2312"/>
              </w:rPr>
              <w:t>商务响应偏离表 技术（服务）方案说明书 合同条款响应偏离表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其它资料 供应商承诺书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响应文件内容应全面响应采购文件要求，且无未实质性的情形。</w:t>
            </w:r>
          </w:p>
        </w:tc>
        <w:tc>
          <w:tcPr>
            <w:tcW w:type="dxa" w:w="1661"/>
          </w:tcPr>
          <w:p>
            <w:pPr>
              <w:pStyle w:val="null3"/>
            </w:pPr>
            <w:r>
              <w:rPr>
                <w:rFonts w:ascii="仿宋_GB2312" w:hAnsi="仿宋_GB2312" w:cs="仿宋_GB2312" w:eastAsia="仿宋_GB2312"/>
              </w:rPr>
              <w:t>商务响应偏离表 技术（服务）方案说明书 合同条款响应偏离表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其它资料 供应商承诺书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响应文件内容应全面响应采购文件要求，且无未实质性的情形。</w:t>
            </w:r>
          </w:p>
        </w:tc>
        <w:tc>
          <w:tcPr>
            <w:tcW w:type="dxa" w:w="1661"/>
          </w:tcPr>
          <w:p>
            <w:pPr>
              <w:pStyle w:val="null3"/>
            </w:pPr>
            <w:r>
              <w:rPr>
                <w:rFonts w:ascii="仿宋_GB2312" w:hAnsi="仿宋_GB2312" w:cs="仿宋_GB2312" w:eastAsia="仿宋_GB2312"/>
              </w:rPr>
              <w:t>商务响应偏离表 技术（服务）方案说明书 合同条款响应偏离表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其它资料 供应商承诺书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响应文件内容应全面响应采购文件要求，且无未实质性的情形。</w:t>
            </w:r>
          </w:p>
        </w:tc>
        <w:tc>
          <w:tcPr>
            <w:tcW w:type="dxa" w:w="1661"/>
          </w:tcPr>
          <w:p>
            <w:pPr>
              <w:pStyle w:val="null3"/>
            </w:pPr>
            <w:r>
              <w:rPr>
                <w:rFonts w:ascii="仿宋_GB2312" w:hAnsi="仿宋_GB2312" w:cs="仿宋_GB2312" w:eastAsia="仿宋_GB2312"/>
              </w:rPr>
              <w:t>商务响应偏离表 技术（服务）方案说明书 合同条款响应偏离表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其它资料 供应商承诺书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响应文件内容应全面响应采购文件要求，且无未实质性的情形。</w:t>
            </w:r>
          </w:p>
        </w:tc>
        <w:tc>
          <w:tcPr>
            <w:tcW w:type="dxa" w:w="1661"/>
          </w:tcPr>
          <w:p>
            <w:pPr>
              <w:pStyle w:val="null3"/>
            </w:pPr>
            <w:r>
              <w:rPr>
                <w:rFonts w:ascii="仿宋_GB2312" w:hAnsi="仿宋_GB2312" w:cs="仿宋_GB2312" w:eastAsia="仿宋_GB2312"/>
              </w:rPr>
              <w:t>商务响应偏离表 技术（服务）方案说明书 合同条款响应偏离表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其它资料 供应商承诺书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响应文件内容应全面响应采购文件要求，且无未实质性的情形。</w:t>
            </w:r>
          </w:p>
        </w:tc>
        <w:tc>
          <w:tcPr>
            <w:tcW w:type="dxa" w:w="1661"/>
          </w:tcPr>
          <w:p>
            <w:pPr>
              <w:pStyle w:val="null3"/>
            </w:pPr>
            <w:r>
              <w:rPr>
                <w:rFonts w:ascii="仿宋_GB2312" w:hAnsi="仿宋_GB2312" w:cs="仿宋_GB2312" w:eastAsia="仿宋_GB2312"/>
              </w:rPr>
              <w:t>商务响应偏离表 技术（服务）方案说明书 合同条款响应偏离表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其它资料 供应商承诺书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响应文件内容应全面响应采购文件要求，且无未实质性的情形。</w:t>
            </w:r>
          </w:p>
        </w:tc>
        <w:tc>
          <w:tcPr>
            <w:tcW w:type="dxa" w:w="1661"/>
          </w:tcPr>
          <w:p>
            <w:pPr>
              <w:pStyle w:val="null3"/>
            </w:pPr>
            <w:r>
              <w:rPr>
                <w:rFonts w:ascii="仿宋_GB2312" w:hAnsi="仿宋_GB2312" w:cs="仿宋_GB2312" w:eastAsia="仿宋_GB2312"/>
              </w:rPr>
              <w:t>商务响应偏离表 技术（服务）方案说明书 合同条款响应偏离表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其它资料 供应商承诺书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