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版本号：MZ2025-DY102420250424001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水上训练码头及车库租赁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MZ2025-DY1024</w:t>
      </w:r>
      <w:r>
        <w:br/>
      </w:r>
      <w:r>
        <w:br/>
      </w:r>
      <w:r>
        <w:br/>
      </w:r>
    </w:p>
    <w:p>
      <w:pPr>
        <w:pStyle w:val="null3"/>
        <w:jc w:val="center"/>
        <w:outlineLvl w:val="5"/>
      </w:pPr>
      <w:r>
        <w:rPr>
          <w:rFonts w:ascii="仿宋_GB2312" w:hAnsi="仿宋_GB2312" w:cs="仿宋_GB2312" w:eastAsia="仿宋_GB2312"/>
          <w:sz w:val="15"/>
          <w:b/>
        </w:rPr>
        <w:t>西安市体育运动学校</w:t>
      </w:r>
    </w:p>
    <w:p>
      <w:pPr>
        <w:pStyle w:val="null3"/>
        <w:jc w:val="center"/>
        <w:outlineLvl w:val="5"/>
      </w:pPr>
      <w:r>
        <w:rPr>
          <w:rFonts w:ascii="仿宋_GB2312" w:hAnsi="仿宋_GB2312" w:cs="仿宋_GB2312" w:eastAsia="仿宋_GB2312"/>
          <w:sz w:val="15"/>
          <w:b/>
        </w:rPr>
        <w:t>陕西明正招标有限公司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水上训练码头及车库租赁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MZ2025-DY1024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水上训练码头及车库租赁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本项目为水上训练码头及车库租赁。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采购包1（水上训练码头及车库租赁）：属于专门面向中小企业采购。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1、法定代表人身份证明/法定代表人授权书：法定代表人直接参加协商的，须出具法定代表人身份证明及法人身份证；法定代表人授权代表参加协商的，须出具法定代表人授权书及法人和授权代表身份证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协商当天的网站查询记录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灞桥区欧亚大道辅路与林泓路交叉口东北240米西安市体育运动学校</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考《国家计委关于印发〈招标代理服务费管理暂行办法〉的通知》（计价格【2002】1980号）、《国家发展和改革委员会办公厅关于招标代理服务收费有关问题的通知》（发改办价格〔2003〕857号）规定，具体在结果公告中公示。</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1.按照国家房屋验收标准和行业规定进行验收，以实际满足采购人需求为准。2.其他未尽事宜应严格按照《财政部关于进一步加强政府采购需求和履约验收管理的指导意见》(财库(2016)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本项目为水上训练码头及车库租赁。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一、水上训练码头</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 技术与设施要求</w:t>
            </w:r>
          </w:p>
          <w:p>
            <w:pPr>
              <w:pStyle w:val="null3"/>
              <w:jc w:val="both"/>
            </w:pPr>
            <w:r>
              <w:rPr>
                <w:rFonts w:ascii="仿宋_GB2312" w:hAnsi="仿宋_GB2312" w:cs="仿宋_GB2312" w:eastAsia="仿宋_GB2312"/>
                <w:sz w:val="24"/>
              </w:rPr>
              <w:t>- 结构安全：</w:t>
            </w:r>
          </w:p>
          <w:p>
            <w:pPr>
              <w:pStyle w:val="null3"/>
              <w:jc w:val="both"/>
            </w:pPr>
            <w:r>
              <w:rPr>
                <w:rFonts w:ascii="仿宋_GB2312" w:hAnsi="仿宋_GB2312" w:cs="仿宋_GB2312" w:eastAsia="仿宋_GB2312"/>
                <w:sz w:val="24"/>
              </w:rPr>
              <w:t>- 码头承重能力需满足训练船只及设备荷载，抗风等级不低于当地气象部门核定标准（如西安灞河区域需抗7级以上风力）。</w:t>
            </w:r>
          </w:p>
          <w:p>
            <w:pPr>
              <w:pStyle w:val="null3"/>
              <w:jc w:val="both"/>
            </w:pPr>
            <w:r>
              <w:rPr>
                <w:rFonts w:ascii="仿宋_GB2312" w:hAnsi="仿宋_GB2312" w:cs="仿宋_GB2312" w:eastAsia="仿宋_GB2312"/>
                <w:sz w:val="24"/>
              </w:rPr>
              <w:t>- 采用框架结构，面积大于700平方米，表面铺设防腐木，配备配电箱及照明、监控设备，加装保护围栏以及出入门锁。</w:t>
            </w:r>
          </w:p>
          <w:p>
            <w:pPr>
              <w:pStyle w:val="null3"/>
              <w:jc w:val="both"/>
            </w:pPr>
            <w:r>
              <w:rPr>
                <w:rFonts w:ascii="仿宋_GB2312" w:hAnsi="仿宋_GB2312" w:cs="仿宋_GB2312" w:eastAsia="仿宋_GB2312"/>
                <w:sz w:val="24"/>
              </w:rPr>
              <w:t>- 选址条件：</w:t>
            </w:r>
            <w:r>
              <w:rPr>
                <w:rFonts w:ascii="仿宋_GB2312" w:hAnsi="仿宋_GB2312" w:cs="仿宋_GB2312" w:eastAsia="仿宋_GB2312"/>
                <w:sz w:val="24"/>
              </w:rPr>
              <w:t>为灞河东岸东风桥南</w:t>
            </w:r>
            <w:r>
              <w:rPr>
                <w:rFonts w:ascii="仿宋_GB2312" w:hAnsi="仿宋_GB2312" w:cs="仿宋_GB2312" w:eastAsia="仿宋_GB2312"/>
                <w:sz w:val="24"/>
              </w:rPr>
              <w:t>200</w:t>
            </w:r>
            <w:r>
              <w:rPr>
                <w:rFonts w:ascii="仿宋_GB2312" w:hAnsi="仿宋_GB2312" w:cs="仿宋_GB2312" w:eastAsia="仿宋_GB2312"/>
                <w:sz w:val="24"/>
              </w:rPr>
              <w:t>米</w:t>
            </w:r>
            <w:r>
              <w:rPr>
                <w:rFonts w:ascii="仿宋_GB2312" w:hAnsi="仿宋_GB2312" w:cs="仿宋_GB2312" w:eastAsia="仿宋_GB2312"/>
                <w:sz w:val="24"/>
              </w:rPr>
              <w:t>处</w:t>
            </w:r>
          </w:p>
          <w:p>
            <w:pPr>
              <w:pStyle w:val="null3"/>
              <w:jc w:val="both"/>
            </w:pPr>
            <w:r>
              <w:rPr>
                <w:rFonts w:ascii="仿宋_GB2312" w:hAnsi="仿宋_GB2312" w:cs="仿宋_GB2312" w:eastAsia="仿宋_GB2312"/>
                <w:sz w:val="24"/>
              </w:rPr>
              <w:t>- 设置救生设备（救生衣、救生圈）、防护栏（高度不低于1.2米）及应急通道。</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 维护</w:t>
            </w:r>
          </w:p>
          <w:p>
            <w:pPr>
              <w:pStyle w:val="null3"/>
              <w:jc w:val="both"/>
            </w:pPr>
            <w:r>
              <w:rPr>
                <w:rFonts w:ascii="仿宋_GB2312" w:hAnsi="仿宋_GB2312" w:cs="仿宋_GB2312" w:eastAsia="仿宋_GB2312"/>
                <w:sz w:val="24"/>
              </w:rPr>
              <w:t>- 维护责任：</w:t>
            </w:r>
          </w:p>
          <w:p>
            <w:pPr>
              <w:pStyle w:val="null3"/>
              <w:jc w:val="both"/>
            </w:pPr>
            <w:r>
              <w:rPr>
                <w:rFonts w:ascii="仿宋_GB2312" w:hAnsi="仿宋_GB2312" w:cs="仿宋_GB2312" w:eastAsia="仿宋_GB2312"/>
                <w:sz w:val="24"/>
              </w:rPr>
              <w:t>- 租赁期间需定期对码头结构、设备进行检修和维护。</w:t>
            </w:r>
          </w:p>
          <w:p>
            <w:pPr>
              <w:pStyle w:val="null3"/>
              <w:jc w:val="both"/>
            </w:pPr>
            <w:r>
              <w:rPr>
                <w:rFonts w:ascii="仿宋_GB2312" w:hAnsi="仿宋_GB2312" w:cs="仿宋_GB2312" w:eastAsia="仿宋_GB2312"/>
                <w:sz w:val="24"/>
              </w:rPr>
              <w:t>- 遇极端天气需协助使用方及时启动应急预案，确保人员及设施安全。</w:t>
            </w:r>
          </w:p>
          <w:p>
            <w:pPr>
              <w:pStyle w:val="null3"/>
              <w:jc w:val="both"/>
            </w:pPr>
            <w:r>
              <w:rPr>
                <w:rFonts w:ascii="仿宋_GB2312" w:hAnsi="仿宋_GB2312" w:cs="仿宋_GB2312" w:eastAsia="仿宋_GB2312"/>
                <w:sz w:val="24"/>
                <w:b/>
              </w:rPr>
              <w:t>二、地下车库</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 技术与设施要求</w:t>
            </w:r>
          </w:p>
          <w:p>
            <w:pPr>
              <w:pStyle w:val="null3"/>
              <w:jc w:val="both"/>
            </w:pPr>
            <w:r>
              <w:rPr>
                <w:rFonts w:ascii="仿宋_GB2312" w:hAnsi="仿宋_GB2312" w:cs="仿宋_GB2312" w:eastAsia="仿宋_GB2312"/>
                <w:sz w:val="24"/>
              </w:rPr>
              <w:t>- 结构安全：</w:t>
            </w:r>
          </w:p>
          <w:p>
            <w:pPr>
              <w:pStyle w:val="null3"/>
              <w:jc w:val="both"/>
            </w:pPr>
            <w:r>
              <w:rPr>
                <w:rFonts w:ascii="仿宋_GB2312" w:hAnsi="仿宋_GB2312" w:cs="仿宋_GB2312" w:eastAsia="仿宋_GB2312"/>
                <w:sz w:val="24"/>
              </w:rPr>
              <w:t>- 抗震设防烈度不低于8度，结构设计符合《建筑抗震设计规范》（GB50011-2018）。</w:t>
            </w:r>
          </w:p>
          <w:p>
            <w:pPr>
              <w:pStyle w:val="null3"/>
              <w:jc w:val="both"/>
            </w:pPr>
            <w:r>
              <w:rPr>
                <w:rFonts w:ascii="仿宋_GB2312" w:hAnsi="仿宋_GB2312" w:cs="仿宋_GB2312" w:eastAsia="仿宋_GB2312"/>
                <w:sz w:val="24"/>
              </w:rPr>
              <w:t>- 空间规划：</w:t>
            </w:r>
          </w:p>
          <w:p>
            <w:pPr>
              <w:pStyle w:val="null3"/>
              <w:jc w:val="both"/>
            </w:pPr>
            <w:r>
              <w:rPr>
                <w:rFonts w:ascii="仿宋_GB2312" w:hAnsi="仿宋_GB2312" w:cs="仿宋_GB2312" w:eastAsia="仿宋_GB2312"/>
                <w:sz w:val="24"/>
              </w:rPr>
              <w:t>- 面积约为2532平方米.</w:t>
            </w:r>
          </w:p>
          <w:p>
            <w:pPr>
              <w:pStyle w:val="null3"/>
              <w:jc w:val="both"/>
            </w:pPr>
            <w:r>
              <w:rPr>
                <w:rFonts w:ascii="仿宋_GB2312" w:hAnsi="仿宋_GB2312" w:cs="仿宋_GB2312" w:eastAsia="仿宋_GB2312"/>
                <w:sz w:val="24"/>
              </w:rPr>
              <w:t>- 配套设施：</w:t>
            </w:r>
          </w:p>
          <w:p>
            <w:pPr>
              <w:pStyle w:val="null3"/>
              <w:jc w:val="both"/>
            </w:pPr>
            <w:r>
              <w:rPr>
                <w:rFonts w:ascii="仿宋_GB2312" w:hAnsi="仿宋_GB2312" w:cs="仿宋_GB2312" w:eastAsia="仿宋_GB2312"/>
                <w:sz w:val="24"/>
              </w:rPr>
              <w:t>- 地下停应有不少于3间20㎡以上的独立仓储空间。</w:t>
            </w:r>
          </w:p>
          <w:p>
            <w:pPr>
              <w:pStyle w:val="null3"/>
              <w:jc w:val="both"/>
            </w:pPr>
            <w:r>
              <w:rPr>
                <w:rFonts w:ascii="仿宋_GB2312" w:hAnsi="仿宋_GB2312" w:cs="仿宋_GB2312" w:eastAsia="仿宋_GB2312"/>
                <w:sz w:val="24"/>
              </w:rPr>
              <w:t>- 地下防水应满足《地下工程防水技术规范》GB50108-2008.。</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 运营与维护</w:t>
            </w:r>
          </w:p>
          <w:p>
            <w:pPr>
              <w:pStyle w:val="null3"/>
              <w:jc w:val="both"/>
            </w:pPr>
            <w:r>
              <w:rPr>
                <w:rFonts w:ascii="仿宋_GB2312" w:hAnsi="仿宋_GB2312" w:cs="仿宋_GB2312" w:eastAsia="仿宋_GB2312"/>
                <w:sz w:val="24"/>
              </w:rPr>
              <w:t>- 维护责任：</w:t>
            </w:r>
          </w:p>
          <w:p>
            <w:pPr>
              <w:pStyle w:val="null3"/>
              <w:jc w:val="both"/>
            </w:pPr>
            <w:r>
              <w:rPr>
                <w:rFonts w:ascii="仿宋_GB2312" w:hAnsi="仿宋_GB2312" w:cs="仿宋_GB2312" w:eastAsia="仿宋_GB2312"/>
                <w:sz w:val="24"/>
              </w:rPr>
              <w:t>- 供电设备定期检查，保障地下车库供电正常，承租方负担使用的电费。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供应商针对本项目提供相应的服务人员，能满足履行合同需求。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供应商针对本项目提供相应的设施设备，能满足履行合同需求。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签订合同后，成交供应商提供增值税发票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1.按照国家房屋验收标准和行业规定进行验收，以实际满足采购人需求为准。2.其他未尽事宜应严格按照《财政部关于进一步加强政府采购需求和履约验收管理的指导意见》(财库(2016)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2.未按合同或协商文件要求提供服务或服务质量不能满足采购人技术要求，采购人有权终止合同，甚至对供应商违约行为进行追究。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（2）财务状况报告：提供经审计的2023或2024年度财务报告或协商前六个月内其本公司银行账户出具的资信证明或政府采购专业担保机构出具的协商担保函（事业单位可不提供）（加盖公章）； （3）税收缴纳证明：供应商提供截止至协商时间前六个月任一月份的缴费凭据；依法免税的应提供相关文件证明（加盖公章）； （4）社会保障资金缴纳证明：供应商提供截止至协商时间前六个月任一月份的缴费凭据或社保机构开具的社会保险参保缴费情况证明；依法不需要缴纳社会保障资金的应提供相关文件证明（加盖公章）；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法定代表人直接参加协商的，须出具法定代表人身份证明及法人身份证；法定代表人授权代表参加协商的，须出具法定代表人授权书及法人和授权代表身份证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协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完全响应采购文件要求的各项技术/服务/商务实质性条款，按照采购文件要求上传协商响应文件，未出现实质性内容的缺漏项</w:t>
            </w:r>
          </w:p>
        </w:tc>
        <w:tc>
          <w:tcPr>
            <w:tcW w:type="dxa" w:w="1661"/>
          </w:tcPr>
          <w:p>
            <w:pPr>
              <w:pStyle w:val="null3"/>
            </w:pPr>
            <w:r>
              <w:rPr>
                <w:rFonts w:ascii="仿宋_GB2312" w:hAnsi="仿宋_GB2312" w:cs="仿宋_GB2312" w:eastAsia="仿宋_GB2312"/>
              </w:rPr>
              <w:t>响应方案说明.docx 中小企业声明函 一般资格要求.docx 报价表 服务内容及服务要求响应偏离表.docx 响应文件封面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不属于招标文件规定的无效情形</w:t>
            </w:r>
          </w:p>
        </w:tc>
        <w:tc>
          <w:tcPr>
            <w:tcW w:type="dxa" w:w="1661"/>
          </w:tcPr>
          <w:p>
            <w:pPr>
              <w:pStyle w:val="null3"/>
            </w:pPr>
            <w:r>
              <w:rPr>
                <w:rFonts w:ascii="仿宋_GB2312" w:hAnsi="仿宋_GB2312" w:cs="仿宋_GB2312" w:eastAsia="仿宋_GB2312"/>
              </w:rPr>
              <w:t>响应方案说明.docx 中小企业声明函 一般资格要求.docx 报价表 服务内容及服务要求响应偏离表.docx 响应文件封面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同时满足以下条款： （1）协商报价符合唯一性要求； （2）协商报价未超出采购预算和最高限价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响应方案说明.docx 中小企业声明函 一般资格要求.docx 报价表 服务内容及服务要求响应偏离表.docx 响应文件封面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符合协商文件要求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