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版本号：XBXM-2025ZB01320250508001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2025年回民殡仪馆碑石采购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XBXM-2025ZB013</w:t>
      </w:r>
      <w:r>
        <w:br/>
      </w:r>
      <w:r>
        <w:br/>
      </w:r>
      <w:r>
        <w:br/>
      </w:r>
    </w:p>
    <w:p>
      <w:pPr>
        <w:pStyle w:val="null3"/>
        <w:jc w:val="center"/>
        <w:outlineLvl w:val="2"/>
      </w:pPr>
      <w:r>
        <w:rPr>
          <w:rFonts w:ascii="仿宋_GB2312" w:hAnsi="仿宋_GB2312" w:cs="仿宋_GB2312" w:eastAsia="仿宋_GB2312"/>
          <w:sz w:val="28"/>
          <w:b/>
        </w:rPr>
        <w:t>西安市回民殡仪馆</w:t>
      </w:r>
    </w:p>
    <w:p>
      <w:pPr>
        <w:pStyle w:val="null3"/>
        <w:jc w:val="center"/>
        <w:outlineLvl w:val="2"/>
      </w:pPr>
      <w:r>
        <w:rPr>
          <w:rFonts w:ascii="仿宋_GB2312" w:hAnsi="仿宋_GB2312" w:cs="仿宋_GB2312" w:eastAsia="仿宋_GB2312"/>
          <w:sz w:val="28"/>
          <w:b/>
        </w:rPr>
        <w:t>西部项目管理（陕西）有限公司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西部项目管理（陕西）有限公司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西安市回民殡仪馆</w:t>
      </w:r>
      <w:r>
        <w:rPr>
          <w:rFonts w:ascii="仿宋_GB2312" w:hAnsi="仿宋_GB2312" w:cs="仿宋_GB2312" w:eastAsia="仿宋_GB2312"/>
        </w:rPr>
        <w:t>委托，拟对</w:t>
      </w:r>
      <w:r>
        <w:rPr>
          <w:rFonts w:ascii="仿宋_GB2312" w:hAnsi="仿宋_GB2312" w:cs="仿宋_GB2312" w:eastAsia="仿宋_GB2312"/>
        </w:rPr>
        <w:t>2025年回民殡仪馆碑石采购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XBXM-2025ZB013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2025年回民殡仪馆碑石采购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计划采购一批回民墓碑。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采购包1（2025年回民殡仪馆碑石采购）：属于专门面向中小企业采购。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2、具有良好的商业信誉和健全的财务会计制度：提供2023年或2024年经第三方审计的财务报告（包括四表一注，即资产负债表、利润表、现金流量表、所有者权益变动表及其附注）；事业法人提供部门决算报告； /或在投标文件递交截止时间前六个月内其基本开户银行出具的资信证明（附《基本存款账户信息》或《银行开户许可证》复印件）；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3、具有履行合同所必需的设备和专业技术能力：提供具有履行合同所必需的设备和专业技术能力的书面声明</w:t>
      </w:r>
    </w:p>
    <w:p>
      <w:pPr>
        <w:pStyle w:val="null3"/>
      </w:pPr>
      <w:r>
        <w:rPr>
          <w:rFonts w:ascii="仿宋_GB2312" w:hAnsi="仿宋_GB2312" w:cs="仿宋_GB2312" w:eastAsia="仿宋_GB2312"/>
        </w:rPr>
        <w:t>4、具有依法缴纳税收的良好记录：提供缴费所属日期为投标文件递交截止时间前12个月内任一月份（开标时间当月不计入）缴费凭据或税务机关出具的完税证明/在法规范围内不需提供的应出具书面说明和证明文件。</w:t>
      </w:r>
    </w:p>
    <w:p>
      <w:pPr>
        <w:pStyle w:val="null3"/>
      </w:pPr>
      <w:r>
        <w:rPr>
          <w:rFonts w:ascii="仿宋_GB2312" w:hAnsi="仿宋_GB2312" w:cs="仿宋_GB2312" w:eastAsia="仿宋_GB2312"/>
        </w:rPr>
        <w:t>5、具有依法缴纳社会保障资金的良好记录：提供缴费所属日期为投标文件递交截止时间前12个月内任一月份（开标时间当月不计入）的缴费凭据或社保机关出具的缴费证明/在法规范围内不需提供的应出具书面说明和证明文件。</w:t>
      </w:r>
    </w:p>
    <w:p>
      <w:pPr>
        <w:pStyle w:val="null3"/>
      </w:pPr>
      <w:r>
        <w:rPr>
          <w:rFonts w:ascii="仿宋_GB2312" w:hAnsi="仿宋_GB2312" w:cs="仿宋_GB2312" w:eastAsia="仿宋_GB2312"/>
        </w:rPr>
        <w:t>6、参加政府采购活动前3年内在经营活动中没有重大违法记录的书面声明：提供参加政府采购活动前3年内在经营活动中没有重大违法记录的书面声明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7、信誉要求：通过“信用中国”网站（www.creditchina.gov. cn）、“中国政府采购网”网站（www.ccgp.go v.cn）查询供应商在投标文件递交截止时间前的信用记录，拒绝列入失信被执行人名单、重大税收违法失信主体、政府采购严重违法失信行为记录名单中的供应商参加本项目的采购活动。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8、法定代表人身份证明或法人代表授权书：提供法定代表人身份证明或法人代表授权书</w:t>
      </w:r>
    </w:p>
    <w:p>
      <w:pPr>
        <w:pStyle w:val="null3"/>
      </w:pPr>
      <w:r>
        <w:rPr>
          <w:rFonts w:ascii="仿宋_GB2312" w:hAnsi="仿宋_GB2312" w:cs="仿宋_GB2312" w:eastAsia="仿宋_GB2312"/>
        </w:rPr>
        <w:t>9、本项目为专门面向中小企业项目：供应商须为中型企业或者小型、微型企业或监狱企业或残疾人福利性单位，提供符合投标文件格式要求的声明函或证明文件。</w:t>
      </w:r>
    </w:p>
    <w:p>
      <w:pPr>
        <w:pStyle w:val="null3"/>
      </w:pPr>
      <w:r>
        <w:rPr>
          <w:rFonts w:ascii="仿宋_GB2312" w:hAnsi="仿宋_GB2312" w:cs="仿宋_GB2312" w:eastAsia="仿宋_GB2312"/>
        </w:rPr>
        <w:t>10、联合体投标：本项目不接受联合体投标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西安市回民殡仪馆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西安市莲湖区东举院巷146号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西安市回民殡仪馆经办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029-87623972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西部项目管理（陕西）有限公司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陕西省西安市碑林区长安北路88号长安国际中心F座20层2005室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代理服务费收费标准：按照国家计委关于印发《招标代理服务收费管理暂行办法》的通知（计价格〔2002〕1980号）、《调整后的招标代理服务收费标准》（发改价格〔2011〕534号）规定标准下浮10%计取。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西安市回民殡仪馆</w:t>
      </w:r>
      <w:r>
        <w:rPr>
          <w:rFonts w:ascii="仿宋_GB2312" w:hAnsi="仿宋_GB2312" w:cs="仿宋_GB2312" w:eastAsia="仿宋_GB2312"/>
        </w:rPr>
        <w:t>和</w:t>
      </w:r>
      <w:r>
        <w:rPr>
          <w:rFonts w:ascii="仿宋_GB2312" w:hAnsi="仿宋_GB2312" w:cs="仿宋_GB2312" w:eastAsia="仿宋_GB2312"/>
        </w:rPr>
        <w:t>西部项目管理（陕西）有限公司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西安市回民殡仪馆</w:t>
      </w:r>
      <w:r>
        <w:rPr>
          <w:rFonts w:ascii="仿宋_GB2312" w:hAnsi="仿宋_GB2312" w:cs="仿宋_GB2312" w:eastAsia="仿宋_GB2312"/>
        </w:rPr>
        <w:t>负责解释。除上述招标文件内容，其他内容由</w:t>
      </w:r>
      <w:r>
        <w:rPr>
          <w:rFonts w:ascii="仿宋_GB2312" w:hAnsi="仿宋_GB2312" w:cs="仿宋_GB2312" w:eastAsia="仿宋_GB2312"/>
        </w:rPr>
        <w:t>西部项目管理（陕西）有限公司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西安市回民殡仪馆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西部项目管理（陕西）有限公司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人指定地点后，采购人根据合同要求，进行验收，确认产地、规格和数量。必要时委托具有相关资质的第三方检测机构或邀请行业内专家对货物外观质量等进行抽样检验，检验费用由中标供应商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西部项目管理（陕西）有限公司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联系人：李悦</w:t>
      </w:r>
    </w:p>
    <w:p>
      <w:pPr>
        <w:pStyle w:val="null3"/>
      </w:pPr>
      <w:r>
        <w:rPr>
          <w:rFonts w:ascii="仿宋_GB2312" w:hAnsi="仿宋_GB2312" w:cs="仿宋_GB2312" w:eastAsia="仿宋_GB2312"/>
        </w:rPr>
        <w:t>联系电话：029-85257375</w:t>
      </w:r>
    </w:p>
    <w:p>
      <w:pPr>
        <w:pStyle w:val="null3"/>
      </w:pPr>
      <w:r>
        <w:rPr>
          <w:rFonts w:ascii="仿宋_GB2312" w:hAnsi="仿宋_GB2312" w:cs="仿宋_GB2312" w:eastAsia="仿宋_GB2312"/>
        </w:rPr>
        <w:t>地址：陕西省西安市碑林区长安北路88号长安国际中心F座20层2005室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计划采购一批回民墓碑。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1340000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规格型号：符合采购人要求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采购内容包括石材的采购、制作、加工、验收，合同履行过程中根据不同时期采购人实际需求进行定制采购，详见下表。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材质</w:t>
                  </w:r>
                </w:p>
              </w:tc>
              <w:tc>
                <w:tcPr>
                  <w:tcW w:type="dxa" w:w="511"/>
                </w:tcPr>
                <w:p>
                  <w:pPr>
                    <w:pStyle w:val="null3"/>
                  </w:pPr>
                  <w:r>
                    <w:rPr>
                      <w:rFonts w:ascii="仿宋_GB2312" w:hAnsi="仿宋_GB2312" w:cs="仿宋_GB2312" w:eastAsia="仿宋_GB2312"/>
                    </w:rPr>
                    <w:t>规格尺寸（cm）</w:t>
                  </w:r>
                </w:p>
              </w:tc>
              <w:tc>
                <w:tcPr>
                  <w:tcW w:type="dxa" w:w="511"/>
                </w:tcPr>
                <w:p>
                  <w:pPr>
                    <w:pStyle w:val="null3"/>
                  </w:pPr>
                  <w:r>
                    <w:rPr>
                      <w:rFonts w:ascii="仿宋_GB2312" w:hAnsi="仿宋_GB2312" w:cs="仿宋_GB2312" w:eastAsia="仿宋_GB2312"/>
                    </w:rPr>
                    <w:t>预估数量</w:t>
                  </w:r>
                </w:p>
              </w:tc>
              <w:tc>
                <w:tcPr>
                  <w:tcW w:type="dxa" w:w="511"/>
                </w:tcPr>
                <w:p>
                  <w:pPr>
                    <w:pStyle w:val="null3"/>
                  </w:pPr>
                  <w:r>
                    <w:rPr>
                      <w:rFonts w:ascii="仿宋_GB2312" w:hAnsi="仿宋_GB2312" w:cs="仿宋_GB2312" w:eastAsia="仿宋_GB2312"/>
                    </w:rPr>
                    <w:t>最高投标限价单价（元）</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芝麻黑花岗岩</w:t>
                  </w:r>
                </w:p>
              </w:tc>
              <w:tc>
                <w:tcPr>
                  <w:tcW w:type="dxa" w:w="511"/>
                </w:tcPr>
                <w:p>
                  <w:pPr>
                    <w:pStyle w:val="null3"/>
                  </w:pPr>
                  <w:r>
                    <w:rPr>
                      <w:rFonts w:ascii="仿宋_GB2312" w:hAnsi="仿宋_GB2312" w:cs="仿宋_GB2312" w:eastAsia="仿宋_GB2312"/>
                    </w:rPr>
                    <w:t>160×70×8</w:t>
                  </w:r>
                </w:p>
              </w:tc>
              <w:tc>
                <w:tcPr>
                  <w:tcW w:type="dxa" w:w="511"/>
                </w:tcPr>
                <w:p>
                  <w:pPr>
                    <w:pStyle w:val="null3"/>
                  </w:pPr>
                  <w:r>
                    <w:rPr>
                      <w:rFonts w:ascii="仿宋_GB2312" w:hAnsi="仿宋_GB2312" w:cs="仿宋_GB2312" w:eastAsia="仿宋_GB2312"/>
                    </w:rPr>
                    <w:t>180</w:t>
                  </w:r>
                </w:p>
              </w:tc>
              <w:tc>
                <w:tcPr>
                  <w:tcW w:type="dxa" w:w="511"/>
                </w:tcPr>
                <w:p>
                  <w:pPr>
                    <w:pStyle w:val="null3"/>
                  </w:pPr>
                  <w:r>
                    <w:rPr>
                      <w:rFonts w:ascii="仿宋_GB2312" w:hAnsi="仿宋_GB2312" w:cs="仿宋_GB2312" w:eastAsia="仿宋_GB2312"/>
                    </w:rPr>
                    <w:t>1200</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芝麻黑花岗岩</w:t>
                  </w:r>
                </w:p>
              </w:tc>
              <w:tc>
                <w:tcPr>
                  <w:tcW w:type="dxa" w:w="511"/>
                </w:tcPr>
                <w:p>
                  <w:pPr>
                    <w:pStyle w:val="null3"/>
                  </w:pPr>
                  <w:r>
                    <w:rPr>
                      <w:rFonts w:ascii="仿宋_GB2312" w:hAnsi="仿宋_GB2312" w:cs="仿宋_GB2312" w:eastAsia="仿宋_GB2312"/>
                    </w:rPr>
                    <w:t>85×25×30（碑座）</w:t>
                  </w:r>
                </w:p>
              </w:tc>
              <w:tc>
                <w:tcPr>
                  <w:tcW w:type="dxa" w:w="511"/>
                </w:tcPr>
                <w:p>
                  <w:pPr>
                    <w:pStyle w:val="null3"/>
                  </w:pPr>
                  <w:r>
                    <w:rPr>
                      <w:rFonts w:ascii="仿宋_GB2312" w:hAnsi="仿宋_GB2312" w:cs="仿宋_GB2312" w:eastAsia="仿宋_GB2312"/>
                    </w:rPr>
                    <w:t>50</w:t>
                  </w:r>
                </w:p>
              </w:tc>
              <w:tc>
                <w:tcPr>
                  <w:tcW w:type="dxa" w:w="511"/>
                </w:tcPr>
                <w:p>
                  <w:pPr>
                    <w:pStyle w:val="null3"/>
                  </w:pPr>
                  <w:r>
                    <w:rPr>
                      <w:rFonts w:ascii="仿宋_GB2312" w:hAnsi="仿宋_GB2312" w:cs="仿宋_GB2312" w:eastAsia="仿宋_GB2312"/>
                    </w:rPr>
                    <w:t>1300</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芝麻黑花岗岩</w:t>
                  </w:r>
                </w:p>
              </w:tc>
              <w:tc>
                <w:tcPr>
                  <w:tcW w:type="dxa" w:w="511"/>
                </w:tcPr>
                <w:p>
                  <w:pPr>
                    <w:pStyle w:val="null3"/>
                  </w:pPr>
                  <w:r>
                    <w:rPr>
                      <w:rFonts w:ascii="仿宋_GB2312" w:hAnsi="仿宋_GB2312" w:cs="仿宋_GB2312" w:eastAsia="仿宋_GB2312"/>
                    </w:rPr>
                    <w:t>180×70×8</w:t>
                  </w:r>
                </w:p>
              </w:tc>
              <w:tc>
                <w:tcPr>
                  <w:tcW w:type="dxa" w:w="511"/>
                </w:tcPr>
                <w:p>
                  <w:pPr>
                    <w:pStyle w:val="null3"/>
                  </w:pPr>
                  <w:r>
                    <w:rPr>
                      <w:rFonts w:ascii="仿宋_GB2312" w:hAnsi="仿宋_GB2312" w:cs="仿宋_GB2312" w:eastAsia="仿宋_GB2312"/>
                    </w:rPr>
                    <w:t>220</w:t>
                  </w:r>
                </w:p>
              </w:tc>
              <w:tc>
                <w:tcPr>
                  <w:tcW w:type="dxa" w:w="511"/>
                </w:tcPr>
                <w:p>
                  <w:pPr>
                    <w:pStyle w:val="null3"/>
                  </w:pPr>
                  <w:r>
                    <w:rPr>
                      <w:rFonts w:ascii="仿宋_GB2312" w:hAnsi="仿宋_GB2312" w:cs="仿宋_GB2312" w:eastAsia="仿宋_GB2312"/>
                    </w:rPr>
                    <w:t>1700</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芝麻黑花岗岩套</w:t>
                  </w:r>
                </w:p>
              </w:tc>
              <w:tc>
                <w:tcPr>
                  <w:tcW w:type="dxa" w:w="511"/>
                </w:tcPr>
                <w:p>
                  <w:pPr>
                    <w:pStyle w:val="null3"/>
                  </w:pPr>
                  <w:r>
                    <w:rPr>
                      <w:rFonts w:ascii="仿宋_GB2312" w:hAnsi="仿宋_GB2312" w:cs="仿宋_GB2312" w:eastAsia="仿宋_GB2312"/>
                    </w:rPr>
                    <w:t>120×70×8（碑体）</w:t>
                  </w:r>
                </w:p>
                <w:p>
                  <w:pPr>
                    <w:pStyle w:val="null3"/>
                  </w:pPr>
                  <w:r>
                    <w:rPr>
                      <w:rFonts w:ascii="仿宋_GB2312" w:hAnsi="仿宋_GB2312" w:cs="仿宋_GB2312" w:eastAsia="仿宋_GB2312"/>
                    </w:rPr>
                    <w:t>85×25×30（碑座）</w:t>
                  </w:r>
                </w:p>
              </w:tc>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2100</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芝麻黑花岗岩套</w:t>
                  </w:r>
                </w:p>
              </w:tc>
              <w:tc>
                <w:tcPr>
                  <w:tcW w:type="dxa" w:w="511"/>
                </w:tcPr>
                <w:p>
                  <w:pPr>
                    <w:pStyle w:val="null3"/>
                  </w:pPr>
                  <w:r>
                    <w:rPr>
                      <w:rFonts w:ascii="仿宋_GB2312" w:hAnsi="仿宋_GB2312" w:cs="仿宋_GB2312" w:eastAsia="仿宋_GB2312"/>
                    </w:rPr>
                    <w:t>140×70×8（碑体）</w:t>
                  </w:r>
                </w:p>
                <w:p>
                  <w:pPr>
                    <w:pStyle w:val="null3"/>
                  </w:pPr>
                  <w:r>
                    <w:rPr>
                      <w:rFonts w:ascii="仿宋_GB2312" w:hAnsi="仿宋_GB2312" w:cs="仿宋_GB2312" w:eastAsia="仿宋_GB2312"/>
                    </w:rPr>
                    <w:t>85×25×30（碑座）</w:t>
                  </w:r>
                </w:p>
              </w:tc>
              <w:tc>
                <w:tcPr>
                  <w:tcW w:type="dxa" w:w="511"/>
                </w:tcPr>
                <w:p>
                  <w:pPr>
                    <w:pStyle w:val="null3"/>
                  </w:pPr>
                  <w:r>
                    <w:rPr>
                      <w:rFonts w:ascii="仿宋_GB2312" w:hAnsi="仿宋_GB2312" w:cs="仿宋_GB2312" w:eastAsia="仿宋_GB2312"/>
                    </w:rPr>
                    <w:t>100</w:t>
                  </w:r>
                </w:p>
              </w:tc>
              <w:tc>
                <w:tcPr>
                  <w:tcW w:type="dxa" w:w="511"/>
                </w:tcPr>
                <w:p>
                  <w:pPr>
                    <w:pStyle w:val="null3"/>
                  </w:pPr>
                  <w:r>
                    <w:rPr>
                      <w:rFonts w:ascii="仿宋_GB2312" w:hAnsi="仿宋_GB2312" w:cs="仿宋_GB2312" w:eastAsia="仿宋_GB2312"/>
                    </w:rPr>
                    <w:t>2300</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山西黑黑花岗岩套</w:t>
                  </w:r>
                </w:p>
              </w:tc>
              <w:tc>
                <w:tcPr>
                  <w:tcW w:type="dxa" w:w="511"/>
                </w:tcPr>
                <w:p>
                  <w:pPr>
                    <w:pStyle w:val="null3"/>
                  </w:pPr>
                  <w:r>
                    <w:rPr>
                      <w:rFonts w:ascii="仿宋_GB2312" w:hAnsi="仿宋_GB2312" w:cs="仿宋_GB2312" w:eastAsia="仿宋_GB2312"/>
                    </w:rPr>
                    <w:t>120×65×8（碑体）</w:t>
                  </w:r>
                </w:p>
                <w:p>
                  <w:pPr>
                    <w:pStyle w:val="null3"/>
                  </w:pPr>
                  <w:r>
                    <w:rPr>
                      <w:rFonts w:ascii="仿宋_GB2312" w:hAnsi="仿宋_GB2312" w:cs="仿宋_GB2312" w:eastAsia="仿宋_GB2312"/>
                    </w:rPr>
                    <w:t>85×25×30（碑座）</w:t>
                  </w:r>
                </w:p>
              </w:tc>
              <w:tc>
                <w:tcPr>
                  <w:tcW w:type="dxa" w:w="511"/>
                </w:tcPr>
                <w:p>
                  <w:pPr>
                    <w:pStyle w:val="null3"/>
                  </w:pPr>
                  <w:r>
                    <w:rPr>
                      <w:rFonts w:ascii="仿宋_GB2312" w:hAnsi="仿宋_GB2312" w:cs="仿宋_GB2312" w:eastAsia="仿宋_GB2312"/>
                    </w:rPr>
                    <w:t>35</w:t>
                  </w:r>
                </w:p>
              </w:tc>
              <w:tc>
                <w:tcPr>
                  <w:tcW w:type="dxa" w:w="511"/>
                </w:tcPr>
                <w:p>
                  <w:pPr>
                    <w:pStyle w:val="null3"/>
                  </w:pPr>
                  <w:r>
                    <w:rPr>
                      <w:rFonts w:ascii="仿宋_GB2312" w:hAnsi="仿宋_GB2312" w:cs="仿宋_GB2312" w:eastAsia="仿宋_GB2312"/>
                    </w:rPr>
                    <w:t>2700</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山西黑黑花岗岩套</w:t>
                  </w:r>
                </w:p>
              </w:tc>
              <w:tc>
                <w:tcPr>
                  <w:tcW w:type="dxa" w:w="511"/>
                </w:tcPr>
                <w:p>
                  <w:pPr>
                    <w:pStyle w:val="null3"/>
                  </w:pPr>
                  <w:r>
                    <w:rPr>
                      <w:rFonts w:ascii="仿宋_GB2312" w:hAnsi="仿宋_GB2312" w:cs="仿宋_GB2312" w:eastAsia="仿宋_GB2312"/>
                    </w:rPr>
                    <w:t>100×75×10（碑体）</w:t>
                  </w:r>
                </w:p>
                <w:p>
                  <w:pPr>
                    <w:pStyle w:val="null3"/>
                  </w:pPr>
                  <w:r>
                    <w:rPr>
                      <w:rFonts w:ascii="仿宋_GB2312" w:hAnsi="仿宋_GB2312" w:cs="仿宋_GB2312" w:eastAsia="仿宋_GB2312"/>
                    </w:rPr>
                    <w:t>120×30×30（碑座）</w:t>
                  </w:r>
                </w:p>
              </w:tc>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3700</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山西黑黑花岗岩套</w:t>
                  </w:r>
                </w:p>
              </w:tc>
              <w:tc>
                <w:tcPr>
                  <w:tcW w:type="dxa" w:w="511"/>
                </w:tcPr>
                <w:p>
                  <w:pPr>
                    <w:pStyle w:val="null3"/>
                  </w:pPr>
                  <w:r>
                    <w:rPr>
                      <w:rFonts w:ascii="仿宋_GB2312" w:hAnsi="仿宋_GB2312" w:cs="仿宋_GB2312" w:eastAsia="仿宋_GB2312"/>
                    </w:rPr>
                    <w:t>120×80×10（碑体）</w:t>
                  </w:r>
                </w:p>
                <w:p>
                  <w:pPr>
                    <w:pStyle w:val="null3"/>
                  </w:pPr>
                  <w:r>
                    <w:rPr>
                      <w:rFonts w:ascii="仿宋_GB2312" w:hAnsi="仿宋_GB2312" w:cs="仿宋_GB2312" w:eastAsia="仿宋_GB2312"/>
                    </w:rPr>
                    <w:t>150×30×30（碑座）</w:t>
                  </w:r>
                </w:p>
              </w:tc>
              <w:tc>
                <w:tcPr>
                  <w:tcW w:type="dxa" w:w="511"/>
                </w:tcPr>
                <w:p>
                  <w:pPr>
                    <w:pStyle w:val="null3"/>
                  </w:pPr>
                  <w:r>
                    <w:rPr>
                      <w:rFonts w:ascii="仿宋_GB2312" w:hAnsi="仿宋_GB2312" w:cs="仿宋_GB2312" w:eastAsia="仿宋_GB2312"/>
                    </w:rPr>
                    <w:t>15</w:t>
                  </w:r>
                </w:p>
              </w:tc>
              <w:tc>
                <w:tcPr>
                  <w:tcW w:type="dxa" w:w="511"/>
                </w:tcPr>
                <w:p>
                  <w:pPr>
                    <w:pStyle w:val="null3"/>
                  </w:pPr>
                  <w:r>
                    <w:rPr>
                      <w:rFonts w:ascii="仿宋_GB2312" w:hAnsi="仿宋_GB2312" w:cs="仿宋_GB2312" w:eastAsia="仿宋_GB2312"/>
                    </w:rPr>
                    <w:t>7500</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山西黑黑花岗岩套</w:t>
                  </w:r>
                </w:p>
              </w:tc>
              <w:tc>
                <w:tcPr>
                  <w:tcW w:type="dxa" w:w="511"/>
                </w:tcPr>
                <w:p>
                  <w:pPr>
                    <w:pStyle w:val="null3"/>
                  </w:pPr>
                  <w:r>
                    <w:rPr>
                      <w:rFonts w:ascii="仿宋_GB2312" w:hAnsi="仿宋_GB2312" w:cs="仿宋_GB2312" w:eastAsia="仿宋_GB2312"/>
                    </w:rPr>
                    <w:t>130×80×10（碑体）</w:t>
                  </w:r>
                </w:p>
                <w:p>
                  <w:pPr>
                    <w:pStyle w:val="null3"/>
                  </w:pPr>
                  <w:r>
                    <w:rPr>
                      <w:rFonts w:ascii="仿宋_GB2312" w:hAnsi="仿宋_GB2312" w:cs="仿宋_GB2312" w:eastAsia="仿宋_GB2312"/>
                    </w:rPr>
                    <w:t>160×30×30（碑座）</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9000</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山西黑黑花岗岩套</w:t>
                  </w:r>
                </w:p>
              </w:tc>
              <w:tc>
                <w:tcPr>
                  <w:tcW w:type="dxa" w:w="511"/>
                </w:tcPr>
                <w:p>
                  <w:pPr>
                    <w:pStyle w:val="null3"/>
                  </w:pPr>
                  <w:r>
                    <w:rPr>
                      <w:rFonts w:ascii="仿宋_GB2312" w:hAnsi="仿宋_GB2312" w:cs="仿宋_GB2312" w:eastAsia="仿宋_GB2312"/>
                    </w:rPr>
                    <w:t>160×80×12碑体）</w:t>
                  </w:r>
                </w:p>
                <w:p>
                  <w:pPr>
                    <w:pStyle w:val="null3"/>
                  </w:pPr>
                  <w:r>
                    <w:rPr>
                      <w:rFonts w:ascii="仿宋_GB2312" w:hAnsi="仿宋_GB2312" w:cs="仿宋_GB2312" w:eastAsia="仿宋_GB2312"/>
                    </w:rPr>
                    <w:t>95×30×30（碑座）</w:t>
                  </w:r>
                </w:p>
              </w:tc>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10000</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艺术碑、定制碑</w:t>
                  </w:r>
                </w:p>
              </w:tc>
              <w:tc>
                <w:tcPr>
                  <w:tcW w:type="dxa" w:w="511"/>
                </w:tcPr>
                <w:p>
                  <w:pPr>
                    <w:pStyle w:val="null3"/>
                  </w:pPr>
                  <w:r>
                    <w:rPr>
                      <w:rFonts w:ascii="仿宋_GB2312" w:hAnsi="仿宋_GB2312" w:cs="仿宋_GB2312" w:eastAsia="仿宋_GB2312"/>
                    </w:rPr>
                    <w:t>高度1-2米不等</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29000</w:t>
                  </w:r>
                </w:p>
              </w:tc>
            </w:tr>
            <w:tr>
              <w:tc>
                <w:tcPr>
                  <w:tcW w:type="dxa" w:w="1533"/>
                  <w:gridSpan w:val="3"/>
                </w:tcPr>
                <w:p>
                  <w:pPr>
                    <w:pStyle w:val="null3"/>
                  </w:pPr>
                  <w:r>
                    <w:rPr>
                      <w:rFonts w:ascii="仿宋_GB2312" w:hAnsi="仿宋_GB2312" w:cs="仿宋_GB2312" w:eastAsia="仿宋_GB2312"/>
                    </w:rPr>
                    <w:t>合  计</w:t>
                  </w:r>
                </w:p>
              </w:tc>
              <w:tc>
                <w:tcPr>
                  <w:tcW w:type="dxa" w:w="511"/>
                </w:tcPr>
                <w:p>
                  <w:pPr>
                    <w:pStyle w:val="null3"/>
                  </w:pPr>
                  <w:r>
                    <w:rPr>
                      <w:rFonts w:ascii="仿宋_GB2312" w:hAnsi="仿宋_GB2312" w:cs="仿宋_GB2312" w:eastAsia="仿宋_GB2312"/>
                    </w:rPr>
                    <w:t>642</w:t>
                  </w:r>
                </w:p>
              </w:tc>
              <w:tc>
                <w:tcPr>
                  <w:tcW w:type="dxa" w:w="511"/>
                </w:tcPr>
                <w:p>
                  <w:pPr>
                    <w:pStyle w:val="null3"/>
                  </w:pPr>
                  <w:r>
                    <w:rPr>
                      <w:rFonts w:ascii="仿宋_GB2312" w:hAnsi="仿宋_GB2312" w:cs="仿宋_GB2312" w:eastAsia="仿宋_GB2312"/>
                    </w:rPr>
                    <w:t>1340000</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材质标准（1）：密度达到2.6/cm³以上。</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材质标准（2）：干燥压缩强度不低于150Mpa。</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材质标准（3）吸水率≤0.5%。</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材质标准（4）：镜向光泽度≥90度</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90"/>
            </w:pPr>
            <w:r>
              <w:rPr>
                <w:rFonts w:ascii="仿宋_GB2312" w:hAnsi="仿宋_GB2312" w:cs="仿宋_GB2312" w:eastAsia="仿宋_GB2312"/>
              </w:rPr>
              <w:t>一、服务要求</w:t>
            </w:r>
          </w:p>
          <w:p>
            <w:pPr>
              <w:pStyle w:val="null3"/>
            </w:pPr>
            <w:r>
              <w:rPr>
                <w:rFonts w:ascii="仿宋_GB2312" w:hAnsi="仿宋_GB2312" w:cs="仿宋_GB2312" w:eastAsia="仿宋_GB2312"/>
              </w:rPr>
              <w:t>1.运输由中标供应商负责，运杂费已包含在合同总价内，合同价包括货物本身及货物自供应地点运送至交货地点所含的运输费、装卸费、仓储费、保险费等为完成本项目所发生的一切费用。</w:t>
            </w:r>
          </w:p>
          <w:p>
            <w:pPr>
              <w:pStyle w:val="null3"/>
            </w:pPr>
            <w:r>
              <w:rPr>
                <w:rFonts w:ascii="仿宋_GB2312" w:hAnsi="仿宋_GB2312" w:cs="仿宋_GB2312" w:eastAsia="仿宋_GB2312"/>
              </w:rPr>
              <w:t>2.运输方式由中标供应商自行选择，但必须保证按期交货。</w:t>
            </w:r>
          </w:p>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rPr>
              <w:t>1.分批次供货</w:t>
            </w:r>
          </w:p>
          <w:p>
            <w:pPr>
              <w:pStyle w:val="null3"/>
            </w:pPr>
            <w:r>
              <w:rPr>
                <w:rFonts w:ascii="仿宋_GB2312" w:hAnsi="仿宋_GB2312" w:cs="仿宋_GB2312" w:eastAsia="仿宋_GB2312"/>
              </w:rPr>
              <w:t>自合同签订之日起，分批次按需供货，在接到采购人供货通知后于10个工作日内将货物送至回民公墓指定地点，并由采购人进行验收，合格后方可签收。</w:t>
            </w:r>
          </w:p>
          <w:p>
            <w:pPr>
              <w:pStyle w:val="null3"/>
            </w:pPr>
            <w:r>
              <w:rPr>
                <w:rFonts w:ascii="仿宋_GB2312" w:hAnsi="仿宋_GB2312" w:cs="仿宋_GB2312" w:eastAsia="仿宋_GB2312"/>
              </w:rPr>
              <w:t>2.款项结算</w:t>
            </w:r>
          </w:p>
          <w:p>
            <w:pPr>
              <w:pStyle w:val="null3"/>
            </w:pPr>
            <w:r>
              <w:rPr>
                <w:rFonts w:ascii="仿宋_GB2312" w:hAnsi="仿宋_GB2312" w:cs="仿宋_GB2312" w:eastAsia="仿宋_GB2312"/>
              </w:rPr>
              <w:t>1）合同签订后按阶段据实结算货款。</w:t>
            </w:r>
          </w:p>
          <w:p>
            <w:pPr>
              <w:pStyle w:val="null3"/>
            </w:pPr>
            <w:r>
              <w:rPr>
                <w:rFonts w:ascii="仿宋_GB2312" w:hAnsi="仿宋_GB2312" w:cs="仿宋_GB2312" w:eastAsia="仿宋_GB2312"/>
              </w:rPr>
              <w:t>2）支付方式：银行转账。</w:t>
            </w:r>
          </w:p>
          <w:p>
            <w:pPr>
              <w:pStyle w:val="null3"/>
            </w:pPr>
            <w:r>
              <w:rPr>
                <w:rFonts w:ascii="仿宋_GB2312" w:hAnsi="仿宋_GB2312" w:cs="仿宋_GB2312" w:eastAsia="仿宋_GB2312"/>
              </w:rPr>
              <w:t>3）结算方式：合同签订后支付项目预算的40%作为预付款；合同签订6个月之后据实结算一次;合同签订9个月之后据实结算一次;合同实施完毕验收合格后，供应商持中标通知书、供货合同、发票、政府采购项目验收单，与采购人进行最终结算。供货商需开具增值税专用发票。</w:t>
            </w:r>
          </w:p>
          <w:p>
            <w:pPr>
              <w:pStyle w:val="null3"/>
            </w:pPr>
            <w:r>
              <w:rPr>
                <w:rFonts w:ascii="仿宋_GB2312" w:hAnsi="仿宋_GB2312" w:cs="仿宋_GB2312" w:eastAsia="仿宋_GB2312"/>
              </w:rPr>
              <w:t>3.产品质保期</w:t>
            </w:r>
          </w:p>
          <w:p>
            <w:pPr>
              <w:pStyle w:val="null3"/>
            </w:pPr>
            <w:r>
              <w:rPr>
                <w:rFonts w:ascii="仿宋_GB2312" w:hAnsi="仿宋_GB2312" w:cs="仿宋_GB2312" w:eastAsia="仿宋_GB2312"/>
              </w:rPr>
              <w:t>供应商需提供至少5年的质量保证期，在质保期内，如墓碑出现自然开裂、掉字等质量问题，应免费维修或更换，接报修后48小时内到场。</w:t>
            </w:r>
          </w:p>
          <w:p>
            <w:pPr>
              <w:pStyle w:val="null3"/>
            </w:pPr>
            <w:r>
              <w:rPr>
                <w:rFonts w:ascii="仿宋_GB2312" w:hAnsi="仿宋_GB2312" w:cs="仿宋_GB2312" w:eastAsia="仿宋_GB2312"/>
              </w:rPr>
              <w:t>三、其他</w:t>
            </w:r>
          </w:p>
          <w:p>
            <w:pPr>
              <w:pStyle w:val="null3"/>
            </w:pPr>
            <w:r>
              <w:rPr>
                <w:rFonts w:ascii="仿宋_GB2312" w:hAnsi="仿宋_GB2312" w:cs="仿宋_GB2312" w:eastAsia="仿宋_GB2312"/>
              </w:rPr>
              <w:t>1.设计样式：遵循回族丧葬文化习俗，碑体设计简洁 庄重，不得出现动物图案，以体现对伊斯兰教义的尊崇。 碑顶采用传统的拱形顶、圆弧形、平顶或尖顶设计，线条流畅自然，符合少数名族殡葬习俗，给人以宁静、肃穆之感。</w:t>
            </w:r>
          </w:p>
          <w:p>
            <w:pPr>
              <w:pStyle w:val="null3"/>
            </w:pPr>
            <w:r>
              <w:rPr>
                <w:rFonts w:ascii="仿宋_GB2312" w:hAnsi="仿宋_GB2312" w:cs="仿宋_GB2312" w:eastAsia="仿宋_GB2312"/>
              </w:rPr>
              <w:t>2.选用质地坚硬 、抗风化能力强 ，无裂纹、色差和杂质的天然石材，如芝麻石花岗岩及中国黑花岗岩 ，耐寒性应满足室外环境使用要求，自然暴晒5年色差ΔE≤2。表面平整、无明显瑕 疵、裂纹、色斑，保证墓碑在自然环境下长期耐用。</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合同履行期限：自合同签订之日起一年，分批次按需供货，在接到采购人供货通知后于10个工作日内交货。</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供货地点：采购人指定地点</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质量标准：符合国家、行业现行验收标准和规范的要求。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自合同签订之日起一年，分批次按需供货，在接到采购人供货通知后于10个工作日内交货。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合同签订6个月之后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合同签订9个月之后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合同实施完毕验收合格后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验收标准：符合国家、行业现行验收标准和规范的要求。 验收方法：见招标文件合同附件。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供应商需提供至少5年的质量保证期，在质保期内，如墓碑出现自然开裂、掉字等质量问题，应免费维修或更换，接报修后48小时内到场。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文件中要求签字或盖章处可使用电子印章或加盖印章纸质文件扫描件的方式。2、招标结束后，所有投标人须向招标人另行无偿提供与本项目电子投标文件一致的投标文件（具体形式及时间以招标人后期要求为准）。3、招标文件中出现的措辞“采购文”、“响应文件”、“采购人”、“供应商”应当分别按“招标文件”、“投标文件”、“招标人”、“投标人”进行理解。4、“3.4.4支付约定”与招标文件合同条款不一致的以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提供2023年或2024年经第三方审计的财务报告（包括四表一注，即资产负债表、利润表、现金流量表、所有者权益变动表及其附注）；事业法人提供部门决算报告； /或在投标文件递交截止时间前六个月内其基本开户银行出具的资信证明（附《基本存款账户信息》或《银行开户许可证》复印件）；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提供缴费所属日期为投标文件递交截止时间前12个月内任一月份（开标时间当月不计入）缴费凭据或税务机关出具的完税证明/在法规范围内不需提供的应出具书面说明和证明文件。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提供缴费所属日期为投标文件递交截止时间前12个月内任一月份（开标时间当月不计入）的缴费凭据或社保机关出具的缴费证明/在法规范围内不需提供的应出具书面说明和证明文件。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通过“信用中国”网站（www.creditchina.gov. cn）、“中国政府采购网”网站（www.ccgp.go v.cn）查询供应商在投标文件递交截止时间前的信用记录，拒绝列入失信被执行人名单、重大税收违法失信主体、政府采购严重违法失信行为记录名单中的供应商参加本项目的采购活动。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法定代表人身份证明或法人代表授权书</w:t>
            </w:r>
          </w:p>
        </w:tc>
        <w:tc>
          <w:tcPr>
            <w:tcW w:type="dxa" w:w="3322"/>
          </w:tcPr>
          <w:p>
            <w:pPr>
              <w:pStyle w:val="null3"/>
            </w:pPr>
            <w:r>
              <w:rPr>
                <w:rFonts w:ascii="仿宋_GB2312" w:hAnsi="仿宋_GB2312" w:cs="仿宋_GB2312" w:eastAsia="仿宋_GB2312"/>
              </w:rPr>
              <w:t>提供法定代表人身份证明或法人代表授权书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供应商须为中型企业或者小型、微型企业或监狱企业或残疾人福利性单位，提供符合投标文件格式要求的声明函或证明文件。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按照招标文件要求的格式编写，投标报价内容无重大缺漏项。</w:t>
            </w:r>
          </w:p>
        </w:tc>
        <w:tc>
          <w:tcPr>
            <w:tcW w:type="dxa" w:w="1661"/>
          </w:tcPr>
          <w:p>
            <w:pPr>
              <w:pStyle w:val="null3"/>
            </w:pPr>
            <w:r>
              <w:rPr>
                <w:rFonts w:ascii="仿宋_GB2312" w:hAnsi="仿宋_GB2312" w:cs="仿宋_GB2312" w:eastAsia="仿宋_GB2312"/>
              </w:rPr>
              <w:t>开标一览表 中小企业声明函 商务应答表.docx 分项报价表.docx 供应商应提交的相关资格证明材料.docx 投标函 残疾人福利性单位声明函 供货方案.docx 标的清单 投标文件封面 产品技术参数表.docx 供应商认为应补充的其他资料.docx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开标一览表 中小企业声明函 商务应答表.docx 分项报价表.docx 供应商应提交的相关资格证明材料.docx 投标函 残疾人福利性单位声明函 供货方案.docx 标的清单 投标文件封面 产品技术参数表.docx 供应商认为应补充的其他资料.docx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自合同签订之日起一年，分批次按需供货，在接到采购人供货通知后于10个工作日内交货。</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符合国家、行业现行验收标准和规范的要求。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有效投标价格</w:t>
            </w:r>
          </w:p>
        </w:tc>
        <w:tc>
          <w:tcPr>
            <w:tcW w:type="dxa" w:w="3322"/>
          </w:tcPr>
          <w:p>
            <w:pPr>
              <w:pStyle w:val="null3"/>
            </w:pPr>
            <w:r>
              <w:rPr>
                <w:rFonts w:ascii="仿宋_GB2312" w:hAnsi="仿宋_GB2312" w:cs="仿宋_GB2312" w:eastAsia="仿宋_GB2312"/>
              </w:rPr>
              <w:t>不高于采购预算及最高投标限价（含单价最高限价）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其他响应性内容</w:t>
            </w:r>
          </w:p>
        </w:tc>
        <w:tc>
          <w:tcPr>
            <w:tcW w:type="dxa" w:w="3322"/>
          </w:tcPr>
          <w:p>
            <w:pPr>
              <w:pStyle w:val="null3"/>
            </w:pPr>
            <w:r>
              <w:rPr>
                <w:rFonts w:ascii="仿宋_GB2312" w:hAnsi="仿宋_GB2312" w:cs="仿宋_GB2312" w:eastAsia="仿宋_GB2312"/>
              </w:rPr>
              <w:t>符合招标文件中规定的其他实质性要求</w:t>
            </w:r>
          </w:p>
        </w:tc>
        <w:tc>
          <w:tcPr>
            <w:tcW w:type="dxa" w:w="1661"/>
          </w:tcPr>
          <w:p>
            <w:pPr>
              <w:pStyle w:val="null3"/>
            </w:pPr>
            <w:r>
              <w:rPr>
                <w:rFonts w:ascii="仿宋_GB2312" w:hAnsi="仿宋_GB2312" w:cs="仿宋_GB2312" w:eastAsia="仿宋_GB2312"/>
              </w:rPr>
              <w:t>开标一览表 中小企业声明函 商务应答表.docx 分项报价表.docx 供应商应提交的相关资格证明材料.docx 投标函 残疾人福利性单位声明函 供货方案.docx 标的清单 投标文件封面 产品技术参数表.docx 供应商认为应补充的其他资料.docx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总体实施方案（包括不限于：①供货范围②供货标准③加工方案④供货计划），每提供1项计0～3分。 每项详细评审如下： 1、全部响应采购需求，实施方案详细、科学合理、完整且可行得3分； 2、响应采购需求，方案较齐全、合理、较可行得2分；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加工能力</w:t>
            </w:r>
          </w:p>
        </w:tc>
        <w:tc>
          <w:tcPr>
            <w:tcW w:type="dxa" w:w="2492"/>
          </w:tcPr>
          <w:p>
            <w:pPr>
              <w:pStyle w:val="null3"/>
            </w:pPr>
            <w:r>
              <w:rPr>
                <w:rFonts w:ascii="仿宋_GB2312" w:hAnsi="仿宋_GB2312" w:cs="仿宋_GB2312" w:eastAsia="仿宋_GB2312"/>
              </w:rPr>
              <w:t>加工能力（包括不限于：①生产设备②生产工艺③质量保证措施④进度保证措施⑤安全与文明生产措施），每提供1项计0～3分。 1、全部响应采购需求，科学合理、完整且可行得3分； 2、响应采购需求，合理、较可行得2分；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配送方案（包括不限于：①运输组织与统筹能力②包装防护措施③配送时效与保障措施④运输安全管理⑤突发情况应对），每提供1项计0～3分。 1、全部响应采购需求，实施方案详细、科学合理、完整且可行得3分； 2、响应采购需求，方案较齐全、合理、较可行得2分；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明确，对每类产品“▲”标识项逐条进行明确响应，并提供相关检测报告（以检测报告作为评审依据，技术参数指标若检测报告中没有体现的须提供由石材厂家加盖公章的产品证明材料），每一项▲不满足扣2.5分。 注：本包标识数量：▲：4个 （总分按评审因素的得分直接进行累加，不考虑权重。）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劳动力计划安排</w:t>
            </w:r>
          </w:p>
        </w:tc>
        <w:tc>
          <w:tcPr>
            <w:tcW w:type="dxa" w:w="2492"/>
          </w:tcPr>
          <w:p>
            <w:pPr>
              <w:pStyle w:val="null3"/>
            </w:pPr>
            <w:r>
              <w:rPr>
                <w:rFonts w:ascii="仿宋_GB2312" w:hAnsi="仿宋_GB2312" w:cs="仿宋_GB2312" w:eastAsia="仿宋_GB2312"/>
              </w:rPr>
              <w:t>劳动力计划安排（包括不限于：①专业技术人员配置情况②劳动力管理与培训机制），每提供1项计0～3分。 1、全部响应采购需求，科学合理、完整且可行得3分； 2、响应采购需求，合理、较可行得2分； 3、基本响应采购要需求，合理性、可行性欠缺得1分；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售后服务措施（包括不限于：①保修期的响应②保修期满后维保措施），每提供1项计0～3分。 1、全部响应采购需求，科学合理、完整且可行得3分； 2、响应采购需求，合理、较可行得2分； 3、基本响应采购需求，合理性、可行性欠缺得1分； 4、不能满足采购人需求或未提供不得分。 （总分按评审因素的得分直接进行累加，不考虑权重。）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2021年1月1日至今承担过类似项目供货业绩（以加盖供应商公章的合同复印件为准，每提供1项有效业绩得3分，最高得6分。 （总分按评审因素的得分直接进行累加，不考虑权重。）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满足招标文件实质性要求且投标报价最低的为评标基准价，其价格分为满分。 投标报价得分=（评标基准价/评 标价）×30。 注：因落实政府采购政策进行价格调整的，以调整后的价格计算评标基准价和投标报价（调整后的投标报价即为评标价）。 （总分按评审因素的得分直接进行累加，不考虑权重。）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