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版本号：SXZY-2025-ZC-112120250425001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2025年促消费系列活动宣传项目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SXZY-2025-ZC-1121</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2025年促消费系列活动宣传项目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2025年促消费系列活动宣传项目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为营造社会各界关心、支持、参与西安商务发展的良好舆论氛围，按照年度计划，拟围绕2025年促消费系列活动，以消费稳步提升为重点，借助主流媒体开展宣传推广。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8、非联合体磋商声明：提交非联合体形式参加本项目磋商的声明函。供应商需在项目电子化交易系统中按要求上传相应证明文件并进行电子签章。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8、非联合体磋商声明：提交非联合体形式参加本项目磋商的声明函。供应商需在项目电子化交易系统中按要求上传相应证明文件并进行电子签章。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8、非联合体磋商声明：提交非联合体形式参加本项目磋商的声明函。供应商需在项目电子化交易系统中按要求上传相应证明文件并进行电子签章。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席博学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地址：陕西省西安市雁塔区曲江池西路369号34幢10101室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为营造社会各界关心、支持、参与西安商务发展的良好舆论氛围，按照年度计划，拟围绕2025年促消费系列活动，以消费稳步提升为重点，借助主流媒体开展宣传推广。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提振消费系列活动专项宣传服务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城市消费场景宣传服务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消费活力氛围宣传服务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标的名称：提振消费系列活动专项宣传服务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服务范围</w:t>
            </w:r>
          </w:p>
        </w:tc>
        <w:tc>
          <w:tcPr>
            <w:tcW w:type="dxa" w:w="2076"/>
          </w:tcPr>
          <w:p>
            <w:pPr>
              <w:pStyle w:val="null3"/>
              <w:jc w:val="both"/>
            </w:pPr>
            <w:r>
              <w:rPr>
                <w:rFonts w:ascii="仿宋_GB2312" w:hAnsi="仿宋_GB2312" w:cs="仿宋_GB2312" w:eastAsia="仿宋_GB2312"/>
              </w:rPr>
              <w:t>提振消费系列活动专项宣传服务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rPr>
              <w:t>1.活动宣传策划，活动提前对接，制定策划方案或宣传思路（书面）不少于20个。</w:t>
            </w:r>
          </w:p>
          <w:p>
            <w:pPr>
              <w:pStyle w:val="null3"/>
            </w:pPr>
            <w:r>
              <w:rPr>
                <w:rFonts w:ascii="仿宋_GB2312" w:hAnsi="仿宋_GB2312" w:cs="仿宋_GB2312" w:eastAsia="仿宋_GB2312"/>
              </w:rPr>
              <w:t>2.新闻通稿体系（活动预热稿/成果稿/专题稿）每个活动不少于2篇。</w:t>
            </w:r>
          </w:p>
          <w:p>
            <w:pPr>
              <w:pStyle w:val="null3"/>
            </w:pPr>
            <w:r>
              <w:rPr>
                <w:rFonts w:ascii="仿宋_GB2312" w:hAnsi="仿宋_GB2312" w:cs="仿宋_GB2312" w:eastAsia="仿宋_GB2312"/>
              </w:rPr>
              <w:t>3.组织中省市媒体宣发，全年活动新闻稿件在央级媒体转发不少于15次、省级媒体报道转发不少于25次、市级及其他媒体转发不少于100次。</w:t>
            </w:r>
          </w:p>
          <w:p>
            <w:pPr>
              <w:pStyle w:val="null3"/>
            </w:pPr>
            <w:r>
              <w:rPr>
                <w:rFonts w:ascii="仿宋_GB2312" w:hAnsi="仿宋_GB2312" w:cs="仿宋_GB2312" w:eastAsia="仿宋_GB2312"/>
              </w:rPr>
              <w:t>4.策划西安商业专题宣传。围绕西安商街商圈经济、首发经济、银发经济、夜间经济以及餐饮、再生资源回收等重点商务工作撰写深度稿件，合作期内不少于5篇，并力推在中省市各大媒体的“报、网、微、端”融媒体平台发布。</w:t>
            </w:r>
          </w:p>
          <w:p>
            <w:pPr>
              <w:pStyle w:val="null3"/>
            </w:pPr>
            <w:r>
              <w:rPr>
                <w:rFonts w:ascii="仿宋_GB2312" w:hAnsi="仿宋_GB2312" w:cs="仿宋_GB2312" w:eastAsia="仿宋_GB2312"/>
              </w:rPr>
              <w:t>5.参加我局组织的商务活动不少于15次，利用自身媒体矩阵发布我局活动稿件。</w:t>
            </w:r>
          </w:p>
          <w:p>
            <w:pPr>
              <w:pStyle w:val="null3"/>
            </w:pPr>
            <w:r>
              <w:rPr>
                <w:rFonts w:ascii="仿宋_GB2312" w:hAnsi="仿宋_GB2312" w:cs="仿宋_GB2312" w:eastAsia="仿宋_GB2312"/>
              </w:rPr>
              <w:t>6.利用自身短视频账号矩阵发布活动宣传视频20篇。</w:t>
            </w:r>
          </w:p>
          <w:p>
            <w:pPr>
              <w:pStyle w:val="null3"/>
              <w:jc w:val="both"/>
            </w:pPr>
            <w:r>
              <w:rPr>
                <w:rFonts w:ascii="仿宋_GB2312" w:hAnsi="仿宋_GB2312" w:cs="仿宋_GB2312" w:eastAsia="仿宋_GB2312"/>
              </w:rPr>
              <w:t>7.协助我局开展其他报道服务。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标的名称：城市消费场景宣传服务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服务范围</w:t>
            </w:r>
          </w:p>
        </w:tc>
        <w:tc>
          <w:tcPr>
            <w:tcW w:type="dxa" w:w="2076"/>
          </w:tcPr>
          <w:p>
            <w:pPr>
              <w:pStyle w:val="null3"/>
              <w:jc w:val="both"/>
            </w:pPr>
            <w:r>
              <w:rPr>
                <w:rFonts w:ascii="仿宋_GB2312" w:hAnsi="仿宋_GB2312" w:cs="仿宋_GB2312" w:eastAsia="仿宋_GB2312"/>
              </w:rPr>
              <w:t>城市消费场景宣传服务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rPr>
              <w:t>1.围绕活动/政策解读制作长图文（九宫格版+长图版）不少于25个。</w:t>
            </w:r>
          </w:p>
          <w:p>
            <w:pPr>
              <w:pStyle w:val="null3"/>
            </w:pPr>
            <w:r>
              <w:rPr>
                <w:rFonts w:ascii="仿宋_GB2312" w:hAnsi="仿宋_GB2312" w:cs="仿宋_GB2312" w:eastAsia="仿宋_GB2312"/>
              </w:rPr>
              <w:t>2.制作动态数据可视化海报（活动倒计时/成果数据）不少于60个。</w:t>
            </w:r>
          </w:p>
          <w:p>
            <w:pPr>
              <w:pStyle w:val="null3"/>
            </w:pPr>
            <w:r>
              <w:rPr>
                <w:rFonts w:ascii="仿宋_GB2312" w:hAnsi="仿宋_GB2312" w:cs="仿宋_GB2312" w:eastAsia="仿宋_GB2312"/>
              </w:rPr>
              <w:t>3.制作H5互动页面（活动邀请函/政策知识问答/消费调研/消费地图导航）5个。</w:t>
            </w:r>
          </w:p>
          <w:p>
            <w:pPr>
              <w:pStyle w:val="null3"/>
            </w:pPr>
            <w:r>
              <w:rPr>
                <w:rFonts w:ascii="仿宋_GB2312" w:hAnsi="仿宋_GB2312" w:cs="仿宋_GB2312" w:eastAsia="仿宋_GB2312"/>
              </w:rPr>
              <w:t>4.组织社交达人在主流社交媒体发布爆款笔记、微博文章等不少于80篇，推送同城热搜5次；</w:t>
            </w:r>
          </w:p>
          <w:p>
            <w:pPr>
              <w:pStyle w:val="null3"/>
            </w:pPr>
            <w:r>
              <w:rPr>
                <w:rFonts w:ascii="仿宋_GB2312" w:hAnsi="仿宋_GB2312" w:cs="仿宋_GB2312" w:eastAsia="仿宋_GB2312"/>
              </w:rPr>
              <w:t>5.利用自身短视频账号矩阵发布活动宣传视频20篇，全年给予平台流量推荐不少于600万人次。</w:t>
            </w:r>
          </w:p>
          <w:p>
            <w:pPr>
              <w:pStyle w:val="null3"/>
            </w:pPr>
            <w:r>
              <w:rPr>
                <w:rFonts w:ascii="仿宋_GB2312" w:hAnsi="仿宋_GB2312" w:cs="仿宋_GB2312" w:eastAsia="仿宋_GB2312"/>
              </w:rPr>
              <w:t>6.参加我局组织的商务活动不少于15次，利用自身媒体矩阵发布我局活动稿件，组织中省市媒体宣发，全年活动新闻稿件在央级媒体转发不少于15次、省级媒体报道转发不少于25次、市级及其他媒体转发不少于100次。</w:t>
            </w:r>
          </w:p>
          <w:p>
            <w:pPr>
              <w:pStyle w:val="null3"/>
              <w:jc w:val="both"/>
            </w:pPr>
            <w:r>
              <w:rPr>
                <w:rFonts w:ascii="仿宋_GB2312" w:hAnsi="仿宋_GB2312" w:cs="仿宋_GB2312" w:eastAsia="仿宋_GB2312"/>
              </w:rPr>
              <w:t>7.协助我局开展其他报道服务。</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标的名称：消费活力氛围宣传服务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服务范围</w:t>
            </w:r>
          </w:p>
        </w:tc>
        <w:tc>
          <w:tcPr>
            <w:tcW w:type="dxa" w:w="2076"/>
          </w:tcPr>
          <w:p>
            <w:pPr>
              <w:pStyle w:val="null3"/>
              <w:jc w:val="both"/>
            </w:pPr>
            <w:r>
              <w:rPr>
                <w:rFonts w:ascii="仿宋_GB2312" w:hAnsi="仿宋_GB2312" w:cs="仿宋_GB2312" w:eastAsia="仿宋_GB2312"/>
                <w:b/>
              </w:rPr>
              <w:t>消费活力氛围宣传服务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rPr>
              <w:t>1.组织活动图片直播20次。</w:t>
            </w:r>
          </w:p>
          <w:p>
            <w:pPr>
              <w:pStyle w:val="null3"/>
            </w:pPr>
            <w:r>
              <w:rPr>
                <w:rFonts w:ascii="仿宋_GB2312" w:hAnsi="仿宋_GB2312" w:cs="仿宋_GB2312" w:eastAsia="仿宋_GB2312"/>
              </w:rPr>
              <w:t>2.拍摄并根据活动需求制作25—60秒场景化展示短视频25个。</w:t>
            </w:r>
          </w:p>
          <w:p>
            <w:pPr>
              <w:pStyle w:val="null3"/>
            </w:pPr>
            <w:r>
              <w:rPr>
                <w:rFonts w:ascii="仿宋_GB2312" w:hAnsi="仿宋_GB2312" w:cs="仿宋_GB2312" w:eastAsia="仿宋_GB2312"/>
              </w:rPr>
              <w:t>3.制作专题商务活动纪录视频不少于3个。（3—6分钟）</w:t>
            </w:r>
          </w:p>
          <w:p>
            <w:pPr>
              <w:pStyle w:val="null3"/>
            </w:pPr>
            <w:r>
              <w:rPr>
                <w:rFonts w:ascii="仿宋_GB2312" w:hAnsi="仿宋_GB2312" w:cs="仿宋_GB2312" w:eastAsia="仿宋_GB2312"/>
              </w:rPr>
              <w:t>4.在自身视频媒体矩阵及西安商务视频矩阵落地活动直播全案4次。</w:t>
            </w:r>
          </w:p>
          <w:p>
            <w:pPr>
              <w:pStyle w:val="null3"/>
            </w:pPr>
            <w:r>
              <w:rPr>
                <w:rFonts w:ascii="仿宋_GB2312" w:hAnsi="仿宋_GB2312" w:cs="仿宋_GB2312" w:eastAsia="仿宋_GB2312"/>
              </w:rPr>
              <w:t>5.利用自身短视频账号矩阵（视频号/抖音/快手）发布活动宣传视频25篇。</w:t>
            </w:r>
          </w:p>
          <w:p>
            <w:pPr>
              <w:pStyle w:val="null3"/>
            </w:pPr>
            <w:r>
              <w:rPr>
                <w:rFonts w:ascii="仿宋_GB2312" w:hAnsi="仿宋_GB2312" w:cs="仿宋_GB2312" w:eastAsia="仿宋_GB2312"/>
              </w:rPr>
              <w:t>6.参加我局组织的商务活动不少于15次，利用自身媒体矩阵发布我局活动稿件。组织中省市媒体宣发，全年活动新闻稿件在央级媒体转发不少于15次、省级媒体报道转发不少于25次、市级及其他媒体转发不少于100次。</w:t>
            </w:r>
          </w:p>
          <w:p>
            <w:pPr>
              <w:pStyle w:val="null3"/>
              <w:jc w:val="both"/>
            </w:pPr>
            <w:r>
              <w:rPr>
                <w:rFonts w:ascii="仿宋_GB2312" w:hAnsi="仿宋_GB2312" w:cs="仿宋_GB2312" w:eastAsia="仿宋_GB2312"/>
              </w:rPr>
              <w:t>7.协助我局开展其他报道服务。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满足采购人服务要求，提供专业服务团队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满足采购人服务要求，提供专业服务团队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满足采购人服务要求，提供专业服务团队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满足采购人服务要求，提供专业专业软硬件设备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满足采购人服务要求，提供专业专业软硬件设备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满足采购人服务要求，提供专业专业软硬件设备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1.进度要求：每三个月整理、总结合同进展情况，听取采购人意见，提出下步改进工作措施。2.成果交付要求：履行期届满提交结案报告。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1.进度要求：每三个月整理、总结合同进展情况，听取采购人意见，提出下步改进工作措施。2.成果交付要求：履行期届满提交结案报告。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1.进度要求：每三个月整理、总结合同进展情况，听取采购人意见，提出下步改进工作措施。2.成果交付要求：履行期届满提交结案报告。</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乙方提供的服务最终验收达不到磋商文件要求和磋商响应文件承诺及国家或行业标准，或在使用中发现甲方不能容忍的缺陷等，将视为验收不合格，乙方应在甲方要求的时间内无条件完善或要求赔付采购人损失。 4、若发现乙方有弄虚作假的，及在项目实施阶段故意或随意夸大服务，本项目合同解除，乙方赔偿甲方相应的损失。 5、验收标准：按磋商文件、磋商响应文件等服务指标进行逐项验收，各项指标均应符合验收标准及要求。 6、验收合格后，填写验收单，双方盖章、签字生效。 7、验收依据：合同文本、磋商响应文件、磋商文件、澄清函、 国家和行业制定的相应的标准和规范。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乙方提供的服务最终验收达不到磋商文件要求和磋商响应文件承诺及国家或行业标准，或在使用中发现甲方不能容忍的缺陷等，将视为验收不合格，乙方应在甲方要求的时间内无条件完善或要求赔付采购人损失。 4、若发现乙方有弄虚作假的，及在项目实施阶段故意或随意夸大服务，本项目合同解除，乙方赔偿甲方相应的损失。 5、验收标准：按磋商文件、磋商响应文件等服务指标进行逐项验收，各项指标均应符合验收标准及要求。 6、验收合格后，填写验收单，双方盖章、签字生效。 7、验收依据：合同文本、磋商响应文件、磋商文件、澄清函、 国家和行业制定的相应的标准和规范。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乙方提供的服务最终验收达不到磋商文件要求和磋商响应文件承诺及国家或行业标准，或在使用中发现甲方不能容忍的缺陷等，将视为验收不合格，乙方应在甲方要求的时间内无条件完善或要求赔付采购人损失。 4、若发现乙方有弄虚作假的，及在项目实施阶段故意或随意夸大服务，本项目合同解除，乙方赔偿甲方相应的损失。 5、验收标准：按磋商文件、磋商响应文件等服务指标进行逐项验收，各项指标均应符合验收标准及要求。 6、验收合格后，填写验收单，双方盖章、签字生效。 7、验收依据：合同文本、磋商响应文件、磋商文件、澄清函、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签订合同后，供应商提供合规发票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截至11月30日按照时间进度完成合同约定进度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签订合同后，供应商提供合规发票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截至11月30日按照时间进度完成合同约定进度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签订合同后，供应商提供合规发票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截至11月30日按照时间进度完成合同约定进度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3、如有异议另行协商。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3、如有异议另行协商。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1、服务标准：满足采购人要求。 2、供应商所报的价格应考虑到可能发生的所有与完成本项目相关服务及履行合同义务有关的一切费用，任何有选择的报价将不予接受，按无效磋商处理。 3、本项目所属行业为：租赁和商务服务业。根据《工业和信息化部、国家统计局、国家发展和改革委员会、财政部关于印发中小企业划型标准规定的通知》《工信部联企业(2011)300 号)规定的划分标准, 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4、成交供应商在领取成交通知书前，需向采购代理机构提交加盖公章的纸质版响应文件三套，成交供应商应保持响应文件纸质版内容与系统上传内容完全一致，否则将承担一切法律责任 。5、本项目共分为三个合同包，采取按包号顺序定标兼投不兼中原则，按照合同包包号顺序确定成交候选人(合同包1的第一成交候选人，不作为其余合同包的第一成交候选人推荐,以此类推)，同一家供应商不可同时成交多个合同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 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 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 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供应商针对项目的理解阐述，包括但不限于项目背景及项目意义等。 具有针对性、熟悉相关政策、对活动内容、 项目意义理解深入，得10分； 针对性不强、对相关政策了解不够深入、对活动内容、项目意义理解不够深入，得8分； 针对性较差、对相关政策了解较少、对活动内容、项目意义理解较差，得6分； 无针对性、对相关政策了解缺失、对活动内容、项目意义理解偏差较大，得3分；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w:t>
            </w:r>
          </w:p>
          <w:p>
            <w:pPr>
              <w:pStyle w:val="null3"/>
            </w:pPr>
            <w:r>
              <w:rPr>
                <w:rFonts w:ascii="仿宋_GB2312" w:hAnsi="仿宋_GB2312" w:cs="仿宋_GB2312" w:eastAsia="仿宋_GB2312"/>
              </w:rPr>
              <w:t>技术（服务）方案说明书</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供应商针对项目的重难点分析及对策建议。 结合项目情况及项目特征，能够进行全面且客观的重难点分析，有可行、详实的对策建议，得10分； 结合项目情况及项目特征，能够进行较为全面、客观的重难点分析、有较为可行的对策建议，得8分； 结合项目情况及项目特征，有重难点分析及对策建议，但内容不全面，对策建议客观性、可行性较差，得6分； 没有结合项目情况及项目特征进行重难点分析，内容针对性弱，对策建议可行性差，得3分； 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供应商针对本项目提供专业化服务方案。 服务方案充分结合本项目服务特点，思路清晰，计划详细、措施具体完善、可行性强，得10分； 服务方案结合本项目服务特点，有较详细的计划和措施、可行性较强，得8分； 服务方案结合本项目服务特点，有计划措施，但内容不详细，可行性较差，得6分； 服务方案未结合本项目特点，内容简单，针对性、可行性差，得3分；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供应商综合考虑工作内容与时间安排制定项目进度计划。 计划安排完善、科学合理，各环节衔接紧凑，可执行性强，能够完全满足采购需求，得10分； 计划安排较为完善、较科学合理，各环节衔接较紧凑，可执行性较强，基本满足采购需求，得8分； 计划安排基本合理，可执行性一般，基本满足采购需求，得 6分； 计划安排不完整，内容安排不合理，不能完全满足采购需求，得3分；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针对本项目服务内容，有完善的服务质量保障措施，满足本项目采购需求。 内容科学全面、可行性强，得10分； 内容较为科学全面、可行性较强，得8分； 内容基本全面、可行性一般，得6分；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结合本项目服务内容及特点，针对可能出现的突发情况有科学、完善的应急预案。 预案科学合理，防范意识高，风险把控能力强，完全满足采购需求，得10分； 预案有较好的科学性及合理性，防范意识较高，有较强的风险把控能力，能够满足采购需求，得8分； 预案科学性、合理性稍有欠缺，具备一定防范意识和风险把控能力，基本满足采购需求，得6分； 预案内容简单，合理性差，勉强或无法满足采购需求，得3分；未提供得0分。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资料收集及汇总</w:t>
            </w:r>
          </w:p>
        </w:tc>
        <w:tc>
          <w:tcPr>
            <w:tcW w:type="dxa" w:w="2492"/>
          </w:tcPr>
          <w:p>
            <w:pPr>
              <w:pStyle w:val="null3"/>
            </w:pPr>
            <w:r>
              <w:rPr>
                <w:rFonts w:ascii="仿宋_GB2312" w:hAnsi="仿宋_GB2312" w:cs="仿宋_GB2312" w:eastAsia="仿宋_GB2312"/>
              </w:rPr>
              <w:t>供应商对于活动过程的中的资料收集及汇总、移交等有明确、详实的制度措施保证，得10分； 供应商对于活动过程的中的资料收集及汇总、移交等有较为明确的制度措施保证，但内容不够全面，得8分； 供应商对于活动过程的中的资料收集及汇总、移交等有基本的制度措施保证，得6分； 供应商对于活动过程的中的资料收集及汇总、移交等制度措施保证过于简单，得3分；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拟派团队人员</w:t>
            </w:r>
          </w:p>
        </w:tc>
        <w:tc>
          <w:tcPr>
            <w:tcW w:type="dxa" w:w="2492"/>
          </w:tcPr>
          <w:p>
            <w:pPr>
              <w:pStyle w:val="null3"/>
            </w:pPr>
            <w:r>
              <w:rPr>
                <w:rFonts w:ascii="仿宋_GB2312" w:hAnsi="仿宋_GB2312" w:cs="仿宋_GB2312" w:eastAsia="仿宋_GB2312"/>
              </w:rPr>
              <w:t>团队人员数量充足、配备合理、职责明确，完全满足项目需求，得10分； 团队人员数量较为充足、配备较为合理、职责较为明确，满足项目需求，得8分； 团队人员数量较少、配备基本合理、职责基本明确，基本满足项目需求，得6分； 团队员数量少、配备不合理、职责不明确，得3分；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根据供应商针对本项目的服务承诺，评审得分。 服务承诺明确、合理且详细，具有高标准，有针对性和可操作性，承诺不发生不得借机推销其他业务或者设备，不得向涉及企业收取费用等情形，得5分； 服务承诺明确、合理但不够详细，具有高标准，有针对性但可行性一般，得3分 ； 服务承诺粗略，可行性不足，得1分；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供应商提供2022年1月1日至今（以合同签订时间为准）类似项目业绩合同，每提供一个计1分，最高计5分。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费用明细表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供应商针对项目的理解阐述，包括但不限于项目背景及项目意义等。 具有针对性、熟悉相关政策、对活动内容、 项目意义理解深入，得10分； 针对性不强、对相关政策了解不够深入、对活动内容、项目意义理解不够深入，得8分； 针对性较差、对相关政策了解较少、对活动内容、项目意义理解较差，得6分； 无针对性、对相关政策了解缺失、对活动内容、项目意义理解偏差较大，得3分；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供应商针对项目的重难点分析及对策建议。 结合项目情况及项目特征，能够进行全面且客观的重难点分析，有可行、详实的对策建议，得10分； 结合项目情况及项目特征，能够进行较为全面、客观的重难点分析、有较为可行的对策建议，得8分； 结合项目情况及项目特征，有重难点分析及对策建议，但内容不全面，对策建议客观性、可行性较差，得6分； 没有结合项目情况及项目特征进行重难点分析，内容针对性弱，对策建议可行性差，得3分； 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供应商针对本项目提供专业化服务方案。 服务方案充分结合本项目服务特点，思路清晰，计划详细、措施具体完善、可行性强，得10分； 服务方案结合本项目服务特点，有较详细的计划和措施、可行性较强，得8分； 服务方案结合本项目服务特点，有计划措施，但内容不详细，可行性较差，得6分； 服务方案未结合本项目特点，内容简单，针对性、可行性差，得3分；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供应商综合考虑工作内容与时间安排制定项目进度计划。 计划安排完善、科学合理，各环节衔接紧凑，可执行性强，能够完全满足采购需求，得10分； 计划安排较为完善、较科学合理，各环节衔接较紧凑，可执行性较强，基本满足采购需求，得8分； 计划安排基本合理，可执行性一般，基本满足采购需求，得 6分； 计划安排不完整，内容安排不合理，不能完全满足采购需求，得3分；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w:t>
            </w:r>
          </w:p>
          <w:p>
            <w:pPr>
              <w:pStyle w:val="null3"/>
            </w:pPr>
            <w:r>
              <w:rPr>
                <w:rFonts w:ascii="仿宋_GB2312" w:hAnsi="仿宋_GB2312" w:cs="仿宋_GB2312" w:eastAsia="仿宋_GB2312"/>
              </w:rPr>
              <w:t>技术（服务）方案说明书</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针对本项目服务内容，有完善的服务质量保障措施，满足本项目采购需求。 内容科学全面、可行性强，得10分； 内容较为科学全面、可行性较强，得8分； 内容基本全面、可行性一般，得6分；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结合本项目服务内容及特点，针对可能出现的突发情况有科学、完善的应急预案。 预案科学合理，防范意识高，风险把控能力强，完全满足采购需求，得10分； 预案有较好的科学性及合理性，防范意识较高，有较强的风险把控能力，能够满足采购需求，得8分； 预案科学性、合理性稍有欠缺，具备一定防范意识和风险把控能力，基本满足采购需求，得6分； 预案内容简单，合理性差，勉强或无法满足采购需求，得3分；未提供得0分。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资料收集及汇总</w:t>
            </w:r>
          </w:p>
        </w:tc>
        <w:tc>
          <w:tcPr>
            <w:tcW w:type="dxa" w:w="2492"/>
          </w:tcPr>
          <w:p>
            <w:pPr>
              <w:pStyle w:val="null3"/>
            </w:pPr>
            <w:r>
              <w:rPr>
                <w:rFonts w:ascii="仿宋_GB2312" w:hAnsi="仿宋_GB2312" w:cs="仿宋_GB2312" w:eastAsia="仿宋_GB2312"/>
              </w:rPr>
              <w:t>供应商对于活动过程的中的资料收集及汇总、移交等有明确、详实的制度措施保证，得10分； 供应商对于活动过程的中的资料收集及汇总、移交等有较为明确的制度措施保证，但内容不够全面，得8分； 供应商对于活动过程的中的资料收集及汇总、移交等有基本的制度措施保证，得6分； 供应商对于活动过程的中的资料收集及汇总、移交等制度措施保证过于简单，得3分；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拟派团队人员</w:t>
            </w:r>
          </w:p>
        </w:tc>
        <w:tc>
          <w:tcPr>
            <w:tcW w:type="dxa" w:w="2492"/>
          </w:tcPr>
          <w:p>
            <w:pPr>
              <w:pStyle w:val="null3"/>
            </w:pPr>
            <w:r>
              <w:rPr>
                <w:rFonts w:ascii="仿宋_GB2312" w:hAnsi="仿宋_GB2312" w:cs="仿宋_GB2312" w:eastAsia="仿宋_GB2312"/>
              </w:rPr>
              <w:t>团队人员数量充足、配备合理、职责明确，完全满足项目需求，得10分； 团队人员数量较为充足、配备较为合理、职责较为明确，满足项目需求，得8分； 团队人员数量较少、配备基本合理、职责基本明确，基本满足项目需求，得6分； 团队员数量少、配备不合理、职责不明确，得3分；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根据供应商针对本项目的服务承诺，评审得分。 服务承诺明确、合理且详细，具有高标准，有针对性和可操作性，承诺不发生不得借机推销其他业务或者设备，不得向涉及企业收取费用等情形，得5分； 服务承诺明确、合理但不够详细，具有高标准，有针对性但可行性一般，得3分 ； 服务承诺粗略，可行性不足，得1分；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供应商提供2022年1月1日至今（以合同签订时间为准）类似项目业绩合同，每提供一个计1分，最高计5分。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费用明细表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供应商针对项目的理解阐述，包括但不限于项目背景及项目意义等。 具有针对性、熟悉相关政策、对活动内容、 项目意义理解深入，得10分； 针对性不强、对相关政策了解不够深入、对活动内容、项目意义理解不够深入，得8分； 针对性较差、对相关政策了解较少、对活动内容、项目意义理解较差，得6分； 无针对性、对相关政策了解缺失、对活动内容、项目意义理解偏差较大，得3分；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供应商针对项目的重难点分析及对策建议。 结合项目情况及项目特征，能够进行全面且客观的重难点分析，有可行、详实的对策建议，得10分； 结合项目情况及项目特征，能够进行较为全面、客观的重难点分析、有较为可行的对策建议，得8分； 结合项目情况及项目特征，有重难点分析及对策建议，但内容不全面，对策建议客观性、可行性较差，得6分； 没有结合项目情况及项目特征进行重难点分析，内容针对性弱，对策建议可行性差，得3分； 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w:t>
            </w:r>
          </w:p>
          <w:p>
            <w:pPr>
              <w:pStyle w:val="null3"/>
            </w:pPr>
            <w:r>
              <w:rPr>
                <w:rFonts w:ascii="仿宋_GB2312" w:hAnsi="仿宋_GB2312" w:cs="仿宋_GB2312" w:eastAsia="仿宋_GB2312"/>
              </w:rPr>
              <w:t>技术（服务）方案说明书</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供应商针对本项目提供专业化服务方案。 服务方案充分结合本项目服务特点，思路清晰，计划详细、措施具体完善、可行性强，得10分； 服务方案结合本项目服务特点，有较详细的计划和措施、可行性较强，得8分； 服务方案结合本项目服务特点，有计划措施，但内容不详细，可行性较差，得6分； 服务方案未结合本项目特点，内容简单，针对性、可行性差，得3分；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w:t>
            </w:r>
          </w:p>
          <w:p>
            <w:pPr>
              <w:pStyle w:val="null3"/>
            </w:pPr>
            <w:r>
              <w:rPr>
                <w:rFonts w:ascii="仿宋_GB2312" w:hAnsi="仿宋_GB2312" w:cs="仿宋_GB2312" w:eastAsia="仿宋_GB2312"/>
              </w:rPr>
              <w:t>技术（服务）方案说明书</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供应商综合考虑工作内容与时间安排制定项目进度计划。 计划安排完善、科学合理，各环节衔接紧凑，可执行性强，能够完全满足采购需求，得10分； 计划安排较为完善、较科学合理，各环节衔接较紧凑，可执行性较强，基本满足采购需求，得8分； 计划安排基本合理，可执行性一般，基本满足采购需求，得 6分； 计划安排不完整，内容安排不合理，不能完全满足采购需求，得3分；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针对本项目服务内容，有完善的服务质量保障措施，满足本项目采购需求。 内容科学全面、可行性强，得10分； 内容较为科学全面、可行性较强，得8分； 内容基本全面、可行性一般，得6分；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结合本项目服务内容及特点，针对可能出现的突发情况有科学、完善的应急预案。 预案科学合理，防范意识高，风险把控能力强，完全满足采购需求，得10分； 预案有较好的科学性及合理性，防范意识较高，有较强的风险把控能力，能够满足采购需求，得8分； 预案科学性、合理性稍有欠缺，具备一定防范意识和风险把控能力，基本满足采购需求，得6分； 预案内容简单，合理性差，勉强或无法满足采购需求，得3分；未提供得0分。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资料收集及汇总</w:t>
            </w:r>
          </w:p>
        </w:tc>
        <w:tc>
          <w:tcPr>
            <w:tcW w:type="dxa" w:w="2492"/>
          </w:tcPr>
          <w:p>
            <w:pPr>
              <w:pStyle w:val="null3"/>
            </w:pPr>
            <w:r>
              <w:rPr>
                <w:rFonts w:ascii="仿宋_GB2312" w:hAnsi="仿宋_GB2312" w:cs="仿宋_GB2312" w:eastAsia="仿宋_GB2312"/>
              </w:rPr>
              <w:t>供应商对于活动过程的中的资料收集及汇总、移交等有明确、详实的制度措施保证，得10分； 供应商对于活动过程的中的资料收集及汇总、移交等有较为明确的制度措施保证，但内容不够全面，得8分； 供应商对于活动过程的中的资料收集及汇总、移交等有基本的制度措施保证，得6分； 供应商对于活动过程的中的资料收集及汇总、移交等制度措施保证过于简单，得3分；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拟派团队人员</w:t>
            </w:r>
          </w:p>
        </w:tc>
        <w:tc>
          <w:tcPr>
            <w:tcW w:type="dxa" w:w="2492"/>
          </w:tcPr>
          <w:p>
            <w:pPr>
              <w:pStyle w:val="null3"/>
            </w:pPr>
            <w:r>
              <w:rPr>
                <w:rFonts w:ascii="仿宋_GB2312" w:hAnsi="仿宋_GB2312" w:cs="仿宋_GB2312" w:eastAsia="仿宋_GB2312"/>
              </w:rPr>
              <w:t>团队人员数量充足、配备合理、职责明确，完全满足项目需求，得10分； 团队人员数量较为充足、配备较为合理、职责较为明确，满足项目需求，得8分； 团队人员数量较少、配备基本合理、职责基本明确，基本满足项目需求，得6分； 团队员数量少、配备不合理、职责不明确，得3分；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根据供应商针对本项目的服务承诺，评审得分。 服务承诺明确、合理且详细，具有高标准，有针对性和可操作性，承诺不发生不得借机推销其他业务或者设备，不得向涉及企业收取费用等情形，得5分； 服务承诺明确、合理但不够详细，具有高标准，有针对性但可行性一般，得3分 ； 服务承诺粗略，可行性不足，得1分；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供应商提供2022年1月1日至今（以合同签订时间为准）类似项目业绩合同，每提供一个计1分，最高计5分。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其它资料</w:t>
            </w:r>
          </w:p>
          <w:p>
            <w:pPr>
              <w:pStyle w:val="null3"/>
            </w:pPr>
            <w:r>
              <w:rPr>
                <w:rFonts w:ascii="仿宋_GB2312" w:hAnsi="仿宋_GB2312" w:cs="仿宋_GB2312" w:eastAsia="仿宋_GB2312"/>
              </w:rPr>
              <w:t>技术（服务）方案说明书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费用明细表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