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版本号：HX2025CS-00220250428001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2025年回民公墓劳务费外包项目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HX2025CS-002</w:t>
      </w:r>
      <w:r>
        <w:br/>
      </w:r>
      <w:r>
        <w:br/>
      </w:r>
      <w:r>
        <w:br/>
      </w:r>
    </w:p>
    <w:p>
      <w:pPr>
        <w:pStyle w:val="null3"/>
        <w:jc w:val="center"/>
        <w:outlineLvl w:val="2"/>
      </w:pPr>
      <w:r>
        <w:rPr>
          <w:rFonts w:ascii="仿宋_GB2312" w:hAnsi="仿宋_GB2312" w:cs="仿宋_GB2312" w:eastAsia="仿宋_GB2312"/>
          <w:sz w:val="28"/>
          <w:b/>
        </w:rPr>
        <w:t>西安市回民殡仪馆</w:t>
      </w:r>
    </w:p>
    <w:p>
      <w:pPr>
        <w:pStyle w:val="null3"/>
        <w:jc w:val="center"/>
        <w:outlineLvl w:val="2"/>
      </w:pPr>
      <w:r>
        <w:rPr>
          <w:rFonts w:ascii="仿宋_GB2312" w:hAnsi="仿宋_GB2312" w:cs="仿宋_GB2312" w:eastAsia="仿宋_GB2312"/>
          <w:sz w:val="28"/>
          <w:b/>
        </w:rPr>
        <w:t>陕西汇欣工程项目管理有限公司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陕西汇欣工程项目管理有限公司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西安市回民殡仪馆</w:t>
      </w:r>
      <w:r>
        <w:rPr>
          <w:rFonts w:ascii="仿宋_GB2312" w:hAnsi="仿宋_GB2312" w:cs="仿宋_GB2312" w:eastAsia="仿宋_GB2312"/>
        </w:rPr>
        <w:t>委托，拟对</w:t>
      </w:r>
      <w:r>
        <w:rPr>
          <w:rFonts w:ascii="仿宋_GB2312" w:hAnsi="仿宋_GB2312" w:cs="仿宋_GB2312" w:eastAsia="仿宋_GB2312"/>
        </w:rPr>
        <w:t>2025年回民公墓劳务费外包项目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HX2025CS-002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2025年回民公墓劳务费外包项目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西安市回民殡仪馆2025年回民公墓劳务费外包项目。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采购包1（西安市回民殡仪馆2025年回民公墓劳务费外包项目）：属于专门面向中小企业采购。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证明书及法定代表人/负责人授权委托书：供应商应授权合法的人员参加投标全过程，其中法定代表人直接参加投标的，须出具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2、《人力资源服务许可证》：供应商须具备并提供在有效期内的《人力资源服务许可证》。</w:t>
      </w:r>
    </w:p>
    <w:p>
      <w:pPr>
        <w:pStyle w:val="null3"/>
      </w:pPr>
      <w:r>
        <w:rPr>
          <w:rFonts w:ascii="仿宋_GB2312" w:hAnsi="仿宋_GB2312" w:cs="仿宋_GB2312" w:eastAsia="仿宋_GB2312"/>
        </w:rPr>
        <w:t>3、信用信息截图：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截图供应商可不提供，以代理机构在开标后现场查询为准）</w:t>
      </w:r>
    </w:p>
    <w:p>
      <w:pPr>
        <w:pStyle w:val="null3"/>
      </w:pPr>
      <w:r>
        <w:rPr>
          <w:rFonts w:ascii="仿宋_GB2312" w:hAnsi="仿宋_GB2312" w:cs="仿宋_GB2312" w:eastAsia="仿宋_GB2312"/>
        </w:rPr>
        <w:t>4、本项目专门面向中小企业采购：本项目专门面向中小企业采购，仅限符合《政府采购促进中小企业发展暂行办法》（财库〔2020〕46号）条件的中小企业参与，提供中小企业声明函。</w:t>
      </w:r>
    </w:p>
    <w:p>
      <w:pPr>
        <w:pStyle w:val="null3"/>
      </w:pPr>
      <w:r>
        <w:rPr>
          <w:rFonts w:ascii="仿宋_GB2312" w:hAnsi="仿宋_GB2312" w:cs="仿宋_GB2312" w:eastAsia="仿宋_GB2312"/>
        </w:rPr>
        <w:t>5、联合体投标：不接受联合体，提供非联合体声明。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西安市回民殡仪馆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西安市莲湖区东举院巷146号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029-87623973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陕西汇欣工程项目管理有限公司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陕西省西安市高新区丈八四路18号迈瑞科技大厦A座2007室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周靖凯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029-89521553-803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招标代理服务费的计取方式为：招标代理服务费的收取参见国家计委颁布的《招标代理服务收费管理暂行办法》（计价格[2002]1980号）和（发改办价格[2003]857号）中服务类收费标准下浮20%计取代理服务费。 2、成交供应商领取成交通知书之前向招标代理机构交纳服务费，采用现金或转账方式一次性交纳。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西安市回民殡仪馆</w:t>
      </w:r>
      <w:r>
        <w:rPr>
          <w:rFonts w:ascii="仿宋_GB2312" w:hAnsi="仿宋_GB2312" w:cs="仿宋_GB2312" w:eastAsia="仿宋_GB2312"/>
        </w:rPr>
        <w:t>和</w:t>
      </w:r>
      <w:r>
        <w:rPr>
          <w:rFonts w:ascii="仿宋_GB2312" w:hAnsi="仿宋_GB2312" w:cs="仿宋_GB2312" w:eastAsia="仿宋_GB2312"/>
        </w:rPr>
        <w:t>陕西汇欣工程项目管理有限公司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西安市回民殡仪馆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陕西汇欣工程项目管理有限公司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西安市回民殡仪馆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陕西汇欣工程项目管理有限公司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陕西汇欣工程项目管理有限公司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陕西汇欣工程项目管理有限公司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陕西汇欣工程项目管理有限公司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联系人：周靖凯</w:t>
      </w:r>
    </w:p>
    <w:p>
      <w:pPr>
        <w:pStyle w:val="null3"/>
      </w:pPr>
      <w:r>
        <w:rPr>
          <w:rFonts w:ascii="仿宋_GB2312" w:hAnsi="仿宋_GB2312" w:cs="仿宋_GB2312" w:eastAsia="仿宋_GB2312"/>
        </w:rPr>
        <w:t>联系电话：029-89521553-803</w:t>
      </w:r>
    </w:p>
    <w:p>
      <w:pPr>
        <w:pStyle w:val="null3"/>
      </w:pPr>
      <w:r>
        <w:rPr>
          <w:rFonts w:ascii="仿宋_GB2312" w:hAnsi="仿宋_GB2312" w:cs="仿宋_GB2312" w:eastAsia="仿宋_GB2312"/>
        </w:rPr>
        <w:t>地址：陕西省西安市高新区丈八四路18号迈瑞科技大厦A座2007室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根据西安市回民殡仪馆2025年工作发展的需要，拟由第三方承担回民公墓服务外包，负责对回民公墓墓穴的开挖、碑石的刻立、公墓的绿化等工作。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902,000.00</w:t>
      </w:r>
    </w:p>
    <w:p>
      <w:pPr>
        <w:pStyle w:val="null3"/>
      </w:pPr>
      <w:r>
        <w:rPr>
          <w:rFonts w:ascii="仿宋_GB2312" w:hAnsi="仿宋_GB2312" w:cs="仿宋_GB2312" w:eastAsia="仿宋_GB2312"/>
        </w:rPr>
        <w:t>采购包最高限价（元）: 902,000.00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902000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902,000.00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标的名称：902000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ind w:firstLine="480"/>
              <w:jc w:val="both"/>
            </w:pPr>
            <w:r>
              <w:rPr>
                <w:rFonts w:ascii="仿宋_GB2312" w:hAnsi="仿宋_GB2312" w:cs="仿宋_GB2312" w:eastAsia="仿宋_GB2312"/>
                <w:sz w:val="20"/>
              </w:rPr>
              <w:t>1、项目名称：</w:t>
            </w:r>
            <w:r>
              <w:rPr>
                <w:rFonts w:ascii="仿宋_GB2312" w:hAnsi="仿宋_GB2312" w:cs="仿宋_GB2312" w:eastAsia="仿宋_GB2312"/>
                <w:sz w:val="20"/>
              </w:rPr>
              <w:t>西安市回民殡仪馆</w:t>
            </w:r>
            <w:r>
              <w:rPr>
                <w:rFonts w:ascii="仿宋_GB2312" w:hAnsi="仿宋_GB2312" w:cs="仿宋_GB2312" w:eastAsia="仿宋_GB2312"/>
                <w:sz w:val="20"/>
              </w:rPr>
              <w:t>2025年回民公墓劳务费外包项目</w:t>
            </w:r>
          </w:p>
          <w:p>
            <w:pPr>
              <w:pStyle w:val="null3"/>
              <w:ind w:firstLine="480"/>
              <w:jc w:val="both"/>
            </w:pPr>
            <w:r>
              <w:rPr>
                <w:rFonts w:ascii="仿宋_GB2312" w:hAnsi="仿宋_GB2312" w:cs="仿宋_GB2312" w:eastAsia="仿宋_GB2312"/>
                <w:sz w:val="20"/>
              </w:rPr>
              <w:t>2、服务期限：自合同签订之日起一年。</w:t>
            </w:r>
          </w:p>
          <w:p>
            <w:pPr>
              <w:pStyle w:val="null3"/>
              <w:ind w:firstLine="480"/>
              <w:jc w:val="both"/>
            </w:pPr>
            <w:r>
              <w:rPr>
                <w:rFonts w:ascii="仿宋_GB2312" w:hAnsi="仿宋_GB2312" w:cs="仿宋_GB2312" w:eastAsia="仿宋_GB2312"/>
                <w:sz w:val="20"/>
              </w:rPr>
              <w:t>3、服务地点：采购人指定地点。</w:t>
            </w:r>
          </w:p>
          <w:p>
            <w:pPr>
              <w:pStyle w:val="null3"/>
              <w:jc w:val="both"/>
            </w:pPr>
            <w:r>
              <w:rPr>
                <w:rFonts w:ascii="仿宋_GB2312" w:hAnsi="仿宋_GB2312" w:cs="仿宋_GB2312" w:eastAsia="仿宋_GB2312"/>
                <w:sz w:val="20"/>
              </w:rPr>
              <w:t>二、服务内容及要求：</w:t>
            </w:r>
          </w:p>
          <w:p>
            <w:pPr>
              <w:pStyle w:val="null3"/>
              <w:jc w:val="both"/>
            </w:pPr>
            <w:r>
              <w:rPr>
                <w:rFonts w:ascii="仿宋_GB2312" w:hAnsi="仿宋_GB2312" w:cs="仿宋_GB2312" w:eastAsia="仿宋_GB2312"/>
                <w:sz w:val="20"/>
              </w:rPr>
              <w:t xml:space="preserve"> （一）服务内容</w:t>
            </w:r>
          </w:p>
          <w:p>
            <w:pPr>
              <w:pStyle w:val="null3"/>
              <w:jc w:val="both"/>
            </w:pPr>
            <w:r>
              <w:rPr>
                <w:rFonts w:ascii="仿宋_GB2312" w:hAnsi="仿宋_GB2312" w:cs="仿宋_GB2312" w:eastAsia="仿宋_GB2312"/>
                <w:sz w:val="20"/>
              </w:rPr>
              <w:t xml:space="preserve">  本项目拟需劳务人员</w:t>
            </w:r>
            <w:r>
              <w:rPr>
                <w:rFonts w:ascii="仿宋_GB2312" w:hAnsi="仿宋_GB2312" w:cs="仿宋_GB2312" w:eastAsia="仿宋_GB2312"/>
                <w:sz w:val="20"/>
              </w:rPr>
              <w:t>20名（根据本单位实际业务量可对劳务人员进行增减），包括但不限于负责回民公墓墓穴的定位、挖掘、保证墓坑规整，面积、尺寸符合规定；穴位安排合理，符合整体规划；按照要求刻</w:t>
            </w:r>
            <w:r>
              <w:rPr>
                <w:rFonts w:ascii="仿宋_GB2312" w:hAnsi="仿宋_GB2312" w:cs="仿宋_GB2312" w:eastAsia="仿宋_GB2312"/>
                <w:sz w:val="20"/>
              </w:rPr>
              <w:t>立石碑</w:t>
            </w:r>
            <w:r>
              <w:rPr>
                <w:rFonts w:ascii="仿宋_GB2312" w:hAnsi="仿宋_GB2312" w:cs="仿宋_GB2312" w:eastAsia="仿宋_GB2312"/>
                <w:sz w:val="20"/>
              </w:rPr>
              <w:t>；公墓区整体绿化维护等工作，具体工作任务内容以采购人安排为准。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20"/>
              </w:rPr>
              <w:t>（二）服务要求</w:t>
            </w:r>
          </w:p>
          <w:p>
            <w:pPr>
              <w:pStyle w:val="null3"/>
              <w:ind w:firstLine="480"/>
              <w:jc w:val="both"/>
            </w:pPr>
            <w:r>
              <w:rPr>
                <w:rFonts w:ascii="仿宋_GB2312" w:hAnsi="仿宋_GB2312" w:cs="仿宋_GB2312" w:eastAsia="仿宋_GB2312"/>
                <w:sz w:val="20"/>
              </w:rPr>
              <w:t>1、人员要求</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）年龄在</w:t>
            </w:r>
            <w:r>
              <w:rPr>
                <w:rFonts w:ascii="仿宋_GB2312" w:hAnsi="仿宋_GB2312" w:cs="仿宋_GB2312" w:eastAsia="仿宋_GB2312"/>
                <w:sz w:val="20"/>
              </w:rPr>
              <w:t>60</w:t>
            </w:r>
            <w:r>
              <w:rPr>
                <w:rFonts w:ascii="仿宋_GB2312" w:hAnsi="仿宋_GB2312" w:cs="仿宋_GB2312" w:eastAsia="仿宋_GB2312"/>
                <w:sz w:val="20"/>
              </w:rPr>
              <w:t>周</w:t>
            </w:r>
            <w:r>
              <w:rPr>
                <w:rFonts w:ascii="仿宋_GB2312" w:hAnsi="仿宋_GB2312" w:cs="仿宋_GB2312" w:eastAsia="仿宋_GB2312"/>
                <w:sz w:val="20"/>
              </w:rPr>
              <w:t>岁以下。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）身体健康，五官端正，具备良好的言行沟通能力。</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）服从管理，具有良好团队合作精神、道德品质、职业道德和较强责任心。</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）严格遵守</w:t>
            </w:r>
            <w:r>
              <w:rPr>
                <w:rFonts w:ascii="仿宋_GB2312" w:hAnsi="仿宋_GB2312" w:cs="仿宋_GB2312" w:eastAsia="仿宋_GB2312"/>
                <w:sz w:val="20"/>
              </w:rPr>
              <w:t>采购人的</w:t>
            </w:r>
            <w:r>
              <w:rPr>
                <w:rFonts w:ascii="仿宋_GB2312" w:hAnsi="仿宋_GB2312" w:cs="仿宋_GB2312" w:eastAsia="仿宋_GB2312"/>
                <w:sz w:val="20"/>
              </w:rPr>
              <w:t>各项规章制度和考勤管理规定，确保工作时间全程值守。</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）按照工作要求，做好日常培训、服务标准</w:t>
            </w:r>
            <w:r>
              <w:rPr>
                <w:rFonts w:ascii="仿宋_GB2312" w:hAnsi="仿宋_GB2312" w:cs="仿宋_GB2312" w:eastAsia="仿宋_GB2312"/>
                <w:sz w:val="20"/>
              </w:rPr>
              <w:t>的</w:t>
            </w:r>
            <w:r>
              <w:rPr>
                <w:rFonts w:ascii="仿宋_GB2312" w:hAnsi="仿宋_GB2312" w:cs="仿宋_GB2312" w:eastAsia="仿宋_GB2312"/>
                <w:sz w:val="20"/>
              </w:rPr>
              <w:t>管理等工作。</w:t>
            </w:r>
          </w:p>
          <w:p>
            <w:pPr>
              <w:pStyle w:val="null3"/>
              <w:ind w:firstLine="480"/>
              <w:jc w:val="both"/>
            </w:pPr>
            <w:r>
              <w:rPr>
                <w:rFonts w:ascii="仿宋_GB2312" w:hAnsi="仿宋_GB2312" w:cs="仿宋_GB2312" w:eastAsia="仿宋_GB2312"/>
                <w:sz w:val="20"/>
              </w:rPr>
              <w:t>2、服务质量要求</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）供应商应确保按时、准确、妥善的处理劳务人员的薪酬发放，避免发生劳动仲裁、诉讼事件；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）供应商应确保和谐、稳妥的处理劳务人员的劳动仲裁、劳动诉讼及人事纠纷；避免妨碍采购人的正常工作或给采购人带来不利的社会影响；</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采购方</w:t>
            </w:r>
            <w:r>
              <w:rPr>
                <w:rFonts w:ascii="仿宋_GB2312" w:hAnsi="仿宋_GB2312" w:cs="仿宋_GB2312" w:eastAsia="仿宋_GB2312"/>
                <w:sz w:val="20"/>
              </w:rPr>
              <w:t>安排的其他工作。</w:t>
            </w:r>
          </w:p>
          <w:p>
            <w:pPr>
              <w:pStyle w:val="null3"/>
              <w:ind w:firstLine="480"/>
              <w:jc w:val="both"/>
            </w:pPr>
            <w:r>
              <w:rPr>
                <w:rFonts w:ascii="仿宋_GB2312" w:hAnsi="仿宋_GB2312" w:cs="仿宋_GB2312" w:eastAsia="仿宋_GB2312"/>
                <w:sz w:val="20"/>
              </w:rPr>
              <w:t>3、管理方面的要求</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）由</w:t>
            </w:r>
            <w:r>
              <w:rPr>
                <w:rFonts w:ascii="仿宋_GB2312" w:hAnsi="仿宋_GB2312" w:cs="仿宋_GB2312" w:eastAsia="仿宋_GB2312"/>
                <w:sz w:val="20"/>
              </w:rPr>
              <w:t>采购人</w:t>
            </w:r>
            <w:r>
              <w:rPr>
                <w:rFonts w:ascii="仿宋_GB2312" w:hAnsi="仿宋_GB2312" w:cs="仿宋_GB2312" w:eastAsia="仿宋_GB2312"/>
                <w:sz w:val="20"/>
              </w:rPr>
              <w:t>负责对劳务人员进行管理</w:t>
            </w:r>
            <w:r>
              <w:rPr>
                <w:rFonts w:ascii="仿宋_GB2312" w:hAnsi="仿宋_GB2312" w:cs="仿宋_GB2312" w:eastAsia="仿宋_GB2312"/>
                <w:sz w:val="20"/>
              </w:rPr>
              <w:t>和分配</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劳务人员的薪酬费用由采购人</w:t>
            </w:r>
            <w:r>
              <w:rPr>
                <w:rFonts w:ascii="仿宋_GB2312" w:hAnsi="仿宋_GB2312" w:cs="仿宋_GB2312" w:eastAsia="仿宋_GB2312"/>
                <w:sz w:val="20"/>
              </w:rPr>
              <w:t>根据本单位的管理制度进行考核、</w:t>
            </w:r>
            <w:r>
              <w:rPr>
                <w:rFonts w:ascii="仿宋_GB2312" w:hAnsi="仿宋_GB2312" w:cs="仿宋_GB2312" w:eastAsia="仿宋_GB2312"/>
                <w:sz w:val="20"/>
              </w:rPr>
              <w:t>管理</w:t>
            </w:r>
            <w:r>
              <w:rPr>
                <w:rFonts w:ascii="仿宋_GB2312" w:hAnsi="仿宋_GB2312" w:cs="仿宋_GB2312" w:eastAsia="仿宋_GB2312"/>
                <w:sz w:val="20"/>
              </w:rPr>
              <w:t>以</w:t>
            </w:r>
            <w:r>
              <w:rPr>
                <w:rFonts w:ascii="仿宋_GB2312" w:hAnsi="仿宋_GB2312" w:cs="仿宋_GB2312" w:eastAsia="仿宋_GB2312"/>
                <w:sz w:val="20"/>
              </w:rPr>
              <w:t>及</w:t>
            </w:r>
            <w:r>
              <w:rPr>
                <w:rFonts w:ascii="仿宋_GB2312" w:hAnsi="仿宋_GB2312" w:cs="仿宋_GB2312" w:eastAsia="仿宋_GB2312"/>
                <w:sz w:val="20"/>
              </w:rPr>
              <w:t>据实</w:t>
            </w:r>
            <w:r>
              <w:rPr>
                <w:rFonts w:ascii="仿宋_GB2312" w:hAnsi="仿宋_GB2312" w:cs="仿宋_GB2312" w:eastAsia="仿宋_GB2312"/>
                <w:sz w:val="20"/>
              </w:rPr>
              <w:t>核算。</w:t>
            </w:r>
          </w:p>
          <w:p>
            <w:pPr>
              <w:pStyle w:val="null3"/>
              <w:ind w:firstLine="480"/>
              <w:jc w:val="both"/>
            </w:pPr>
            <w:r>
              <w:rPr>
                <w:rFonts w:ascii="仿宋_GB2312" w:hAnsi="仿宋_GB2312" w:cs="仿宋_GB2312" w:eastAsia="仿宋_GB2312"/>
                <w:sz w:val="20"/>
              </w:rPr>
              <w:t>（3）由供应商负责劳务人员的薪酬发放。</w:t>
            </w:r>
          </w:p>
          <w:p>
            <w:pPr>
              <w:pStyle w:val="null3"/>
            </w:pPr>
            <w:r>
              <w:rPr>
                <w:rFonts w:ascii="仿宋_GB2312" w:hAnsi="仿宋_GB2312" w:cs="仿宋_GB2312" w:eastAsia="仿宋_GB2312"/>
                <w:sz w:val="20"/>
              </w:rPr>
              <w:t xml:space="preserve">   （4）供应商需协助处理劳务人员提出的劳动仲裁、诉讼等事宜。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商务要求</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自合同签订之日起一年。</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报价要求及价格组成</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采购预算：</w:t>
            </w:r>
            <w:r>
              <w:rPr>
                <w:rFonts w:ascii="仿宋_GB2312" w:hAnsi="仿宋_GB2312" w:cs="仿宋_GB2312" w:eastAsia="仿宋_GB2312"/>
                <w:sz w:val="20"/>
              </w:rPr>
              <w:t>902,000.00元（劳务人员薪酬及成交服务费为</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800,000.00  </w:t>
            </w:r>
            <w:r>
              <w:rPr>
                <w:rFonts w:ascii="仿宋_GB2312" w:hAnsi="仿宋_GB2312" w:cs="仿宋_GB2312" w:eastAsia="仿宋_GB2312"/>
                <w:sz w:val="20"/>
              </w:rPr>
              <w:t>元，基础服务费（含税价）为</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102,000.00 </w:t>
            </w:r>
            <w:r>
              <w:rPr>
                <w:rFonts w:ascii="仿宋_GB2312" w:hAnsi="仿宋_GB2312" w:cs="仿宋_GB2312" w:eastAsia="仿宋_GB2312"/>
                <w:sz w:val="20"/>
              </w:rPr>
              <w:t>元</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2）报价要求：劳务人员薪酬及成交服务费</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800,000.00 </w:t>
            </w:r>
            <w:r>
              <w:rPr>
                <w:rFonts w:ascii="仿宋_GB2312" w:hAnsi="仿宋_GB2312" w:cs="仿宋_GB2312" w:eastAsia="仿宋_GB2312"/>
                <w:sz w:val="20"/>
              </w:rPr>
              <w:t>元为不可变动部分；基础服务费（含税价）为可变动部分，要求报价不得高于</w:t>
            </w:r>
            <w:r>
              <w:rPr>
                <w:rFonts w:ascii="仿宋_GB2312" w:hAnsi="仿宋_GB2312" w:cs="仿宋_GB2312" w:eastAsia="仿宋_GB2312"/>
                <w:sz w:val="20"/>
                <w:u w:val="single"/>
              </w:rPr>
              <w:t xml:space="preserve">  </w:t>
            </w:r>
            <w:r>
              <w:rPr>
                <w:rFonts w:ascii="仿宋_GB2312" w:hAnsi="仿宋_GB2312" w:cs="仿宋_GB2312" w:eastAsia="仿宋_GB2312"/>
                <w:sz w:val="20"/>
                <w:u w:val="single"/>
              </w:rPr>
              <w:t xml:space="preserve">102,000.00  </w:t>
            </w:r>
            <w:r>
              <w:rPr>
                <w:rFonts w:ascii="仿宋_GB2312" w:hAnsi="仿宋_GB2312" w:cs="仿宋_GB2312" w:eastAsia="仿宋_GB2312"/>
                <w:sz w:val="20"/>
              </w:rPr>
              <w:t>元，否则按无效报价处理。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3）报价组成：劳务人员薪酬及成交服务费与基础服务费（含税价）的合计。</w:t>
            </w:r>
          </w:p>
          <w:p>
            <w:pPr>
              <w:pStyle w:val="null3"/>
              <w:ind w:firstLine="480"/>
              <w:jc w:val="both"/>
            </w:pPr>
            <w:r>
              <w:rPr>
                <w:rFonts w:ascii="仿宋_GB2312" w:hAnsi="仿宋_GB2312" w:cs="仿宋_GB2312" w:eastAsia="仿宋_GB2312"/>
                <w:sz w:val="20"/>
              </w:rPr>
              <w:t>3、付款方式：</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1）支付方式：签订合同后按合同金额每月末结算一次，结算金额按乙方每月提供的实际服务费用的增值税发票据实结算。</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结算方式：银行转账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供应商针对本项目配备专业团队，本项目拟需劳务人员20名（根据本单位实际业务量可对劳务人员进行增减）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满足竞争性磋商文件的规定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采购人所在地或采购人指定的地点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1、验收标准：由采购人组织或委托相关部门服务期间进行现场巡检、验收，并符合竞争性磋商文件及国家、省市及行业相关要求。 2、验收依据：合同文本、竞争性磋商文件和竞争性磋商响应文件。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签订合同后按合同金额每月末结算一次，结算金额按乙方每月提供的实际服务费用的增值税发票据实结算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2、乙方应按合同约定时间完成各阶段服务义务，若发生延迟，乙方应向甲方支付合同总价款5%的违约金，且甲方有权单方面解除本合同。但甲方书面同意延迟或因甲方原因导致延迟的，乙方不承担违约责任。 3、如甲方未能在本合同约定时间内支付款项，每延迟一天，甲方须向乙方承担迟延支付费用的0.5‰作为违约金。 4、本合同服务内容因乙方原因导致侵害甲方或第三方合法权益的，应由乙方承担相应赔偿责任，并向甲方支付合同总价款5%的违约金。 5、若乙方未经甲方同意泄露本合同约定的任何秘密信息的，乙方应按照合同总价款的5%向甲方支付违约金，并赔偿因此给甲方造成的损失。 6、乙方保证向甲方开具增值税发票的真实性、合法性，若乙方向甲方开具的增值税发票存在真实性、合法性问题，给甲方造成损失的，乙方应按合同总价款的5%向甲方支付违约金，违约金不足以弥补损失的，乙方还应承担相应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供应商务必在响应文件提交截止时间30分钟前，通过项目电子化交易系统进行签到，如未进行签到，产生的一起后果由供应商自行承担。 2、磋商时无需提供纸质响应文件，成交供应商在领取成交通知书时提供纸质响应文件两份，纸质版文件须是电子化交易平台系统生成的响应文件。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 2.供应商需按竞争性磋商文件要求提供相应证明文件并进行电子签章。 2.1供应商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 2.2提供财务状况报告2023或2024年度经审计的财务报告，至少包括三表一注，即资产负债表、利润表、现金流量表及其附注（成立时间至提交响应文件截止时间不足一年的可提供成立后任意时段的资产负债表）；或其开标前三个月内基本存款账户开户银行出具的资信证明及开户银行许可证（或开户行出具的基本户证明材料）；或信用担保机构出具的投标担保函（复印件加盖供应商公章）。（以上三种形式的资料提供任何一种即可））。 备注：（1）公益类事业单位无需提供； （2）新成立未发生缴纳税收事项的投标人，应提供纳税书面承诺； （3）其他组织和自然人需提供缴纳税收的凭据。（4）成立时间至提交响应文件截止时间不足一年的可提供基本存款账户开户银行出具的资信证明及开户银行许可证（或开户行出具的基本户证明材料）。 2.3具有履行合同所必需的设备和专业技术能力。 2.4具有依法缴纳税收和社会保障资金的良好记录（提供截止至开标时间前一年内任意三个月的缴费凭据或提供相关主管部门出具的缴纳证明）。依法免缴的供应商须提供相应文件证明其依法免缴； 备注：（1）公益类事业单位无需提供； （2）新成立未发生缴纳税收事项的供应商，应提供纳税书面承诺； （3）其他组织和自然人需提供缴纳税收的凭据。 2.5参加政府采购活动前三年内，在经营活动中没有重大违法记录。 2.6法律、行政法规规定的其他条件。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1.供应商需在项目电子化交易系统中按要求上传相应证明文件并进行电子签章。 2.提供财务状况报告2023或2024年度经审计的财务报告，至少包括三表一注，即资产负债表、利润表、现金流量表及其附注（成立时间至提交响应文件截止时间不足一年的可提供成立后任意时段的资产负债表）；或其开标前三个月内基本存款账户开户银行出具的资信证明及开户银行许可证（或开户行出具的基本户证明材料）；或信用担保机构出具的投标担保函（复印件加盖供应商公章）。（以上三种形式的资料提供任何一种即可））。 备注：（1）公益类事业单位无需提供； （2）新成立未发生缴纳税收事项的投标人，应提供纳税书面承诺； （3）其他组织和自然人需提供缴纳税收的凭据。（4）成立时间至提交响应文件截止时间不足一年的可提供基本存款账户开户银行出具的资信证明及开户银行许可证（或开户行出具的基本户证明材料）。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 2.供应商需按竞争性磋商文件要求提供相应证明文件并进行电子签章。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法定代表人/负责人证明书及法定代表人/负责人授权委托书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《人力资源服务许可证》</w:t>
            </w:r>
          </w:p>
        </w:tc>
        <w:tc>
          <w:tcPr>
            <w:tcW w:type="dxa" w:w="3322"/>
          </w:tcPr>
          <w:p>
            <w:pPr>
              <w:pStyle w:val="null3"/>
            </w:pPr>
            <w:r>
              <w:rPr>
                <w:rFonts w:ascii="仿宋_GB2312" w:hAnsi="仿宋_GB2312" w:cs="仿宋_GB2312" w:eastAsia="仿宋_GB2312"/>
              </w:rPr>
              <w:t>供应商须具备并提供在有效期内的《人力资源服务许可证》。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截图供应商可不提供，以代理机构在开标后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本项目专门面向中小企业采购，仅限符合《政府采购促进中小企业发展暂行办法》（财库〔2020〕46号）条件的中小企业参与，提供中小企业声明函。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磋商报价一览表及分项报价表.docx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响应文件格式、签章、语言、计量单位、报价货币</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详细评审--管理制度.docx 供应商概况及性质.docx 中小企业声明函 详细评审--服务方案.docx 报价表 供应商认为有必要说明的问题.docx 磋商报价一览表及分项报价表.docx 响应文件封面 详细评审--业绩.docx 供应商应提交的相关资格证明材料.docx 残疾人福利性单位声明函 详细评审--培训方案.docx 采购内容响应表.docx 标的清单 供应商拒绝政府采购领域商业贿赂承诺书.docx 详细评审--人员配备.docx 详细评审--服务保障措施.docx 响应函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有效期达到竞争性磋商文件的要求</w:t>
            </w:r>
          </w:p>
        </w:tc>
        <w:tc>
          <w:tcPr>
            <w:tcW w:type="dxa" w:w="3322"/>
          </w:tcPr>
          <w:p>
            <w:pPr>
              <w:pStyle w:val="null3"/>
            </w:pPr>
            <w:r>
              <w:rPr>
                <w:rFonts w:ascii="仿宋_GB2312" w:hAnsi="仿宋_GB2312" w:cs="仿宋_GB2312" w:eastAsia="仿宋_GB2312"/>
              </w:rPr>
              <w:t>响应文件有效期满足竞争性磋商文件要求</w:t>
            </w:r>
          </w:p>
        </w:tc>
        <w:tc>
          <w:tcPr>
            <w:tcW w:type="dxa" w:w="1661"/>
          </w:tcPr>
          <w:p>
            <w:pPr>
              <w:pStyle w:val="null3"/>
            </w:pPr>
            <w:r>
              <w:rPr>
                <w:rFonts w:ascii="仿宋_GB2312" w:hAnsi="仿宋_GB2312" w:cs="仿宋_GB2312" w:eastAsia="仿宋_GB2312"/>
              </w:rPr>
              <w:t>供应商应提交的相关资格证明材料.docx 响应函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磋商报价未超出采购预算</w:t>
            </w:r>
          </w:p>
        </w:tc>
        <w:tc>
          <w:tcPr>
            <w:tcW w:type="dxa" w:w="3322"/>
          </w:tcPr>
          <w:p>
            <w:pPr>
              <w:pStyle w:val="null3"/>
            </w:pPr>
            <w:r>
              <w:rPr>
                <w:rFonts w:ascii="仿宋_GB2312" w:hAnsi="仿宋_GB2312" w:cs="仿宋_GB2312" w:eastAsia="仿宋_GB2312"/>
              </w:rPr>
              <w:t>按照竞争性磋商文件要求报价且报价未超采购预算，报价唯一</w:t>
            </w:r>
          </w:p>
        </w:tc>
        <w:tc>
          <w:tcPr>
            <w:tcW w:type="dxa" w:w="1661"/>
          </w:tcPr>
          <w:p>
            <w:pPr>
              <w:pStyle w:val="null3"/>
            </w:pPr>
            <w:r>
              <w:rPr>
                <w:rFonts w:ascii="仿宋_GB2312" w:hAnsi="仿宋_GB2312" w:cs="仿宋_GB2312" w:eastAsia="仿宋_GB2312"/>
              </w:rPr>
              <w:t>标的清单 报价表 磋商报价一览表及分项报价表.docx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详细评审--管理制度.docx 供应商概况及性质.docx 中小企业声明函 详细评审--服务方案.docx 报价表 供应商认为有必要说明的问题.docx 磋商报价一览表及分项报价表.docx 响应文件封面 详细评审--业绩.docx 供应商应提交的相关资格证明材料.docx 残疾人福利性单位声明函 详细评审--培训方案.docx 采购内容响应表.docx 标的清单 供应商拒绝政府采购领域商业贿赂承诺书.docx 详细评审--人员配备.docx 详细评审--服务保障措施.docx 响应函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技术、服务要求响应</w:t>
            </w:r>
          </w:p>
        </w:tc>
        <w:tc>
          <w:tcPr>
            <w:tcW w:type="dxa" w:w="3322"/>
          </w:tcPr>
          <w:p>
            <w:pPr>
              <w:pStyle w:val="null3"/>
            </w:pPr>
            <w:r>
              <w:rPr>
                <w:rFonts w:ascii="仿宋_GB2312" w:hAnsi="仿宋_GB2312" w:cs="仿宋_GB2312" w:eastAsia="仿宋_GB2312"/>
              </w:rPr>
              <w:t>满足本竞争性磋商文件中的技术、服务要求，未出现重大偏差，降低了服务要求。</w:t>
            </w:r>
          </w:p>
        </w:tc>
        <w:tc>
          <w:tcPr>
            <w:tcW w:type="dxa" w:w="1661"/>
          </w:tcPr>
          <w:p>
            <w:pPr>
              <w:pStyle w:val="null3"/>
            </w:pPr>
            <w:r>
              <w:rPr>
                <w:rFonts w:ascii="仿宋_GB2312" w:hAnsi="仿宋_GB2312" w:cs="仿宋_GB2312" w:eastAsia="仿宋_GB2312"/>
              </w:rPr>
              <w:t>采购内容响应表.docx 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详细评审--管理制度.docx 供应商概况及性质.docx 中小企业声明函 详细评审--服务方案.docx 报价表 供应商认为有必要说明的问题.docx 磋商报价一览表及分项报价表.docx 响应文件封面 详细评审--业绩.docx 供应商应提交的相关资格证明材料.docx 残疾人福利性单位声明函 详细评审--培训方案.docx 采购内容响应表.docx 标的清单 供应商拒绝政府采购领域商业贿赂承诺书.docx 详细评审--人员配备.docx 详细评审--服务保障措施.docx 响应函 商务偏离表.docx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供应商针对磋商文件内容及要求做出具体响应内容，对服务方案包括但不限于（服务目标、实施计划、组织实施方案等）的可行性、可操作性、贴近需求情况进行评审。 服务方案详细完整、流程清晰、可操作性强计（20-25]分； 服务方案内容较全面、目标清晰，实施计划可行计（15-20]分； 服务方案基本完整、流程基本清晰、可操作性一般计（10-15]分； 服务方案内容简单，能满足采购人的需求计（5-10]份； 服务方案内容空洞，目标模糊，计划混乱计[0-5]分； 未提供不计分。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供应商具有比较完善的组织架构，清晰的服务管理流程，包括但不限于运行流程图、激励机制、监督机制、信息反馈渠道及处理机制。内容详细、完善、完全满足采购人需求的计（2-5]分；内容比较详细、较完善、基本满足采购人需求的计（0-2]分；未提供不计分。 2、供应商具有完善的档案资料管理和移交工作制度，制度可操作性强，具体细致。完全满足采购人需求得（2-5]； 基本满足采购人需求得[0-2]分；未提供不计分。 3、供应商具有完整、规范、具体、可行的保障措施方案，并有充足的应急资源储备及较强的应急调配响应能力。完全满足采购人需求得（2-5]； 基本满足采购人需求得[0-2]分；未提供不计分。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详细评审--管理制度.docx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1、供应商具有合理可行的服务保密实施措施，不得以任何方式泄露本项目涉及的相关信息。措施详细、完善、可行性强的计（3-5]分；措施比较详细、较完善、可行性比较好的计（1-3]分；措施一般，可行性一般的计[0-1]分；未提供不计分。 2、供应商具有合理可行的服务考核实施措施。措施详细、完善、可行性强的计（3-5]分；措施比较详细、较完善、可行性比较好的计（1-3]分；措施一般，可行性一般的计[0-1]分；未提供不计分。 3、供应商具有合理可行的服务质量保障措施、质量保障体系、服务保障承诺，保障服务顺利实施完成。措施及承诺详细、完善、可行性强的计（3-5]分；措施及承诺比较详细、较完善、可行性比较好的计（1-3]分；措施及承诺一般，可行性一般的计[0-1]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供应商针对本项目的需求理解与总体要求，组建服务团队，对配备人员的资历及团队整体实力进行评审。 人员配置详细、完善、合理可行计（10-15]分；人员配置较详细、较完善、较合理可行计（5-10]分；人员配置不详细、不完善、可行性差计（0-5]分；不提供不得分。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供应商针对本项目提供验收培训方案（包括劳务人员培训、人事代理项目培训、薪酬代理发放制度培训等）。 方案详细、完善、可行性强的计（6-10]分；方案比较详细、较完善、可行性比较好的计（3-6]分；方案一般，可行性一般的计[0-3]分；未提供不计分。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2022年1月至今（以合同签订时间为准）类似项目业绩进行评分。每提供一份合同得1分，最高得10分(以磋商响应文件中提供的加盖供应商公章的合同复印件为准，时间以签订时间为准)；未提供不计分。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满足磋商文件商务及技术要求且最后报价最低的供应商的价格为磋商基准价，其价格分为满分。 报价得分= (磋商基准价/最后磋商报价) *价格权值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详见附件：磋商报价一览表及分项报价表.docx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详见附件：采购内容响应表.docx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详见附件：详细评审--管理制度.docx</w:t>
      </w:r>
    </w:p>
    <w:p>
      <w:pPr>
        <w:pStyle w:val="null3"/>
        <w:ind w:firstLine="960"/>
      </w:pPr>
      <w:r>
        <w:rPr>
          <w:rFonts w:ascii="仿宋_GB2312" w:hAnsi="仿宋_GB2312" w:cs="仿宋_GB2312" w:eastAsia="仿宋_GB2312"/>
        </w:rPr>
        <w:t>详见附件：详细评审--服务保障措施.docx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详见附件：供应商概况及性质.docx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