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1F807">
      <w:pPr>
        <w:numPr>
          <w:ilvl w:val="0"/>
          <w:numId w:val="0"/>
        </w:numPr>
        <w:spacing w:line="360" w:lineRule="auto"/>
        <w:ind w:left="1" w:leftChars="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  <w:t>其他资料</w:t>
      </w:r>
    </w:p>
    <w:p w14:paraId="18D3C9EE">
      <w:pPr>
        <w:widowControl w:val="0"/>
        <w:numPr>
          <w:ilvl w:val="0"/>
          <w:numId w:val="0"/>
        </w:numPr>
        <w:spacing w:after="120" w:afterLines="0" w:line="360" w:lineRule="auto"/>
        <w:jc w:val="both"/>
        <w:rPr>
          <w:rFonts w:hint="eastAsia" w:ascii="宋体" w:hAnsi="宋体" w:eastAsia="宋体" w:cs="宋体"/>
          <w:kern w:val="2"/>
          <w:sz w:val="28"/>
          <w:highlight w:val="none"/>
          <w:lang w:val="en-US" w:eastAsia="zh-CN" w:bidi="ar-SA"/>
        </w:rPr>
      </w:pPr>
    </w:p>
    <w:p w14:paraId="5AEE0BA7">
      <w:pPr>
        <w:spacing w:line="360" w:lineRule="auto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2766B2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1、依据竞争性磋商文件要求，供应商认为有必要说明的其他内容。</w:t>
      </w:r>
    </w:p>
    <w:p w14:paraId="0B7846F7">
      <w:pPr>
        <w:spacing w:line="360" w:lineRule="auto"/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、其他可以证明供应商实力的文件。</w:t>
      </w:r>
    </w:p>
    <w:p w14:paraId="44074636">
      <w:pPr>
        <w:spacing w:line="360" w:lineRule="auto"/>
        <w:rPr>
          <w:rFonts w:hint="eastAsia"/>
          <w:lang w:val="en-US" w:eastAsia="zh-Hans"/>
        </w:rPr>
      </w:pPr>
    </w:p>
    <w:p w14:paraId="54A00D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461A4"/>
    <w:rsid w:val="7046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2025-03-19T07:17:00Z</dcterms:created>
  <dc:creator>Administrator</dc:creator>
  <cp:lastModifiedBy>Administrator</cp:lastModifiedBy>
  <dcterms:modified xsi:type="dcterms:W3CDTF">2025-04-29T01:50:40Z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eyJoZGlkIjoiY2MxYjZhOWQ3Y2U1MGIzZGExNDBlOWU5ZTQ0YzlmNTgiLCJ1c2VySWQiOiIyMDcxMjY4MTAifQ==</vt:lpwstr>
  </property>
  <property fmtid="{D5CDD505-2E9C-101B-9397-08002B2CF9AE}" pid="4" name="ICV">
    <vt:lpwstr>7D3136B2A42748DC8D568106E07C5385_13</vt:lpwstr>
  </property>
</Properties>
</file>