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版本号：XBZB-2025-026B20250430001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西安市气象数值预报计算服务项目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XBZB-2025-026B</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西安市气象数值预报计算服务项目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XBZB-2025-026B</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西安市气象数值预报计算服务项目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落实省政府办公厅〈关于推进气象强省建设助力高质量发展的意见〉实施方案》《西安市“十四五”气象事业发展规划》《西安大城市气象保障服务高质量发展工作方案（2021—2025）》要求，建立西安都市圈数值天气预报系统，提升西安大城市高影响天气预报精准度和提前量，将原来空间分辨率为3km，更新频次为每日2次的气象要素网格预报业务，提升为空间分辨率1公里，更新频次达1小时的新预报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采购包1（西安市气象数值预报计算服务项目）：属于专门面向中小企业采购。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人授权委托书：法定代表人授权书（附法定代表人、被授权人身份证复印件）及被授权人身份证复印件（法定代表人直接参加招标，须提供法定代表人身份证明书）；非法人单位参照执行。</w:t>
      </w:r>
    </w:p>
    <w:p>
      <w:pPr>
        <w:pStyle w:val="null3"/>
      </w:pPr>
      <w:r>
        <w:rPr>
          <w:rFonts w:ascii="仿宋_GB2312" w:hAnsi="仿宋_GB2312" w:cs="仿宋_GB2312" w:eastAsia="仿宋_GB2312"/>
        </w:rPr>
        <w:t>2、网查信用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4、代理商参加条件：代理商参加投标的，提供针对本项目算力中心开具的计算资源服务授权书；</w:t>
      </w:r>
    </w:p>
    <w:p>
      <w:pPr>
        <w:pStyle w:val="null3"/>
      </w:pPr>
      <w:r>
        <w:rPr>
          <w:rFonts w:ascii="仿宋_GB2312" w:hAnsi="仿宋_GB2312" w:cs="仿宋_GB2312" w:eastAsia="仿宋_GB2312"/>
        </w:rPr>
        <w:t>5、非联合体承诺：本项目不接受联合体（提供承诺函）；</w:t>
      </w:r>
    </w:p>
    <w:p>
      <w:pPr>
        <w:pStyle w:val="null3"/>
      </w:pPr>
      <w:r>
        <w:rPr>
          <w:rFonts w:ascii="仿宋_GB2312" w:hAnsi="仿宋_GB2312" w:cs="仿宋_GB2312" w:eastAsia="仿宋_GB2312"/>
        </w:rPr>
        <w:t>6、有效的主体资格证明：具有独立承担民事责任能力的法人、其他组织或自然人，并出具合法有效的营业执照或事业单位法人证书等国家规定的相关证明，自然人参与的提供其身份证明书；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7、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8、社会保障资金缴纳证明：提供响应文件提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财务状况报告：提供2024年度经审计的财务报告或提交响应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10、无重大违法记录声明：参加政府采购活动前3年内，在经营活动中没有重大违法记录（提供书面声明）；</w:t>
      </w:r>
    </w:p>
    <w:p>
      <w:pPr>
        <w:pStyle w:val="null3"/>
      </w:pPr>
      <w:r>
        <w:rPr>
          <w:rFonts w:ascii="仿宋_GB2312" w:hAnsi="仿宋_GB2312" w:cs="仿宋_GB2312" w:eastAsia="仿宋_GB2312"/>
        </w:rPr>
        <w:t>11、履行能力：提供具有履行本合同所必需的设备和专业技术能力的承诺。（提供承诺书）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029-86251034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张圆、王俊平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15029207197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规定按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联系人：张圆、王俊平</w:t>
      </w:r>
    </w:p>
    <w:p>
      <w:pPr>
        <w:pStyle w:val="null3"/>
      </w:pPr>
      <w:r>
        <w:rPr>
          <w:rFonts w:ascii="仿宋_GB2312" w:hAnsi="仿宋_GB2312" w:cs="仿宋_GB2312" w:eastAsia="仿宋_GB2312"/>
        </w:rPr>
        <w:t>联系电话：15029207197</w:t>
      </w:r>
    </w:p>
    <w:p>
      <w:pPr>
        <w:pStyle w:val="null3"/>
      </w:pPr>
      <w:r>
        <w:rPr>
          <w:rFonts w:ascii="仿宋_GB2312" w:hAnsi="仿宋_GB2312" w:cs="仿宋_GB2312" w:eastAsia="仿宋_GB2312"/>
        </w:rPr>
        <w:t>地址：陕西省西安市碑林区长安国际中心F座17层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落实省政府办公厅〈关于推进气象强省建设助力高质量发展的意见〉实施方案》《西安市“十四五”气象事业发展规划》《西安大城市气象保障服务高质量发展工作方案（2021—2025）》要求，建立西安都市圈数值天气预报系统，提升西安大城市高影响天气预报精准度和提前量，将原来空间分辨率为3km，更新频次为每日2次的气象要素网格预报业务，提升为空间分辨率1公里，更新频次达1小时的新预报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1,092,000.00</w:t>
      </w:r>
    </w:p>
    <w:p>
      <w:pPr>
        <w:pStyle w:val="null3"/>
      </w:pPr>
      <w:r>
        <w:rPr>
          <w:rFonts w:ascii="仿宋_GB2312" w:hAnsi="仿宋_GB2312" w:cs="仿宋_GB2312" w:eastAsia="仿宋_GB2312"/>
        </w:rPr>
        <w:t>采购包最高限价（元）: 1,092,000.00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云计算服务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标的名称：云计算服务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服务内容：</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计算资源服务</w:t>
            </w:r>
          </w:p>
          <w:p>
            <w:pPr>
              <w:pStyle w:val="null3"/>
              <w:ind w:firstLine="420"/>
              <w:jc w:val="both"/>
            </w:pPr>
            <w:r>
              <w:rPr>
                <w:rFonts w:ascii="仿宋_GB2312" w:hAnsi="仿宋_GB2312" w:cs="仿宋_GB2312" w:eastAsia="仿宋_GB2312"/>
                <w:sz w:val="21"/>
              </w:rPr>
              <w:t>供应商所投算力中心所提供的计算资源为提供独享计算资源队列，且</w:t>
            </w:r>
            <w:r>
              <w:rPr>
                <w:rFonts w:ascii="仿宋_GB2312" w:hAnsi="仿宋_GB2312" w:cs="仿宋_GB2312" w:eastAsia="仿宋_GB2312"/>
                <w:sz w:val="21"/>
              </w:rPr>
              <w:t>CPU总物理核心数不少于1600核，配置不少于25台双路服务器，单台服务器配置2颗X86处理器，每颗32核心、2.5GHz主频，配置不低于256GB内存。</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存储资源服务</w:t>
            </w:r>
          </w:p>
          <w:p>
            <w:pPr>
              <w:pStyle w:val="null3"/>
              <w:ind w:firstLine="420"/>
              <w:jc w:val="both"/>
            </w:pPr>
            <w:r>
              <w:rPr>
                <w:rFonts w:ascii="仿宋_GB2312" w:hAnsi="仿宋_GB2312" w:cs="仿宋_GB2312" w:eastAsia="仿宋_GB2312"/>
                <w:sz w:val="21"/>
              </w:rPr>
              <w:t>供应商所投算力中心所提供的存储资源服务为：不少于</w:t>
            </w:r>
            <w:r>
              <w:rPr>
                <w:rFonts w:ascii="仿宋_GB2312" w:hAnsi="仿宋_GB2312" w:cs="仿宋_GB2312" w:eastAsia="仿宋_GB2312"/>
                <w:sz w:val="21"/>
              </w:rPr>
              <w:t>200TB可用存储空间，采用分布式并行存储架构、全模块架构冗余设计，无单一故障点。存储节点通过IB或OPA网络连接计算节点提供存储服务。根据业务发展需求，可随时进行在线扩容。</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网络资源服务</w:t>
            </w:r>
          </w:p>
          <w:p>
            <w:pPr>
              <w:pStyle w:val="null3"/>
              <w:ind w:firstLine="420"/>
              <w:jc w:val="both"/>
            </w:pPr>
            <w:r>
              <w:rPr>
                <w:rFonts w:ascii="仿宋_GB2312" w:hAnsi="仿宋_GB2312" w:cs="仿宋_GB2312" w:eastAsia="仿宋_GB2312"/>
                <w:sz w:val="21"/>
              </w:rPr>
              <w:t>供应商所投算力中心所提供网络资源服务为：提供计算节点采用不低于</w:t>
            </w:r>
            <w:r>
              <w:rPr>
                <w:rFonts w:ascii="仿宋_GB2312" w:hAnsi="仿宋_GB2312" w:cs="仿宋_GB2312" w:eastAsia="仿宋_GB2312"/>
                <w:sz w:val="21"/>
              </w:rPr>
              <w:t>100Gbps Infiniband 互联，采用RDMA协议，支持实现跨节点并行计算。</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系统及环境安全服务</w:t>
            </w:r>
          </w:p>
          <w:p>
            <w:pPr>
              <w:pStyle w:val="null3"/>
              <w:ind w:firstLine="420"/>
              <w:jc w:val="both"/>
            </w:pPr>
            <w:r>
              <w:rPr>
                <w:rFonts w:ascii="仿宋_GB2312" w:hAnsi="仿宋_GB2312" w:cs="仿宋_GB2312" w:eastAsia="仿宋_GB2312"/>
                <w:sz w:val="21"/>
              </w:rPr>
              <w:t>提供安全资源及安全管理支持服务，针对气象用户提供全面的安全防护服务。</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软件及技术支持服务</w:t>
            </w:r>
          </w:p>
          <w:p>
            <w:pPr>
              <w:pStyle w:val="null3"/>
              <w:ind w:firstLine="420"/>
              <w:jc w:val="both"/>
            </w:pPr>
            <w:r>
              <w:rPr>
                <w:rFonts w:ascii="仿宋_GB2312" w:hAnsi="仿宋_GB2312" w:cs="仿宋_GB2312" w:eastAsia="仿宋_GB2312"/>
                <w:sz w:val="21"/>
              </w:rPr>
              <w:t>供应商所投算力中心，须提供针对西安气象局用户提供包括常用编译器、函数库、常用工具库、并行环境等，免费提供</w:t>
            </w:r>
            <w:r>
              <w:rPr>
                <w:rFonts w:ascii="仿宋_GB2312" w:hAnsi="仿宋_GB2312" w:cs="仿宋_GB2312" w:eastAsia="仿宋_GB2312"/>
                <w:sz w:val="21"/>
              </w:rPr>
              <w:t>GNU编译器，支持C/C++/Fortran；Intel编译器，支持C/C++/Fortran；MKL、BLAS、LAPACK、ScaLAPACK、FFTW等；OpenMP并行环境；OpenMPI、MVAPICH2等MPI并行环境等应用开发环境。</w:t>
            </w:r>
          </w:p>
          <w:p>
            <w:pPr>
              <w:pStyle w:val="null3"/>
              <w:jc w:val="both"/>
            </w:pPr>
            <w:r>
              <w:rPr>
                <w:rFonts w:ascii="仿宋_GB2312" w:hAnsi="仿宋_GB2312" w:cs="仿宋_GB2312" w:eastAsia="仿宋_GB2312"/>
                <w:sz w:val="21"/>
                <w:b/>
              </w:rPr>
              <w:t>6.</w:t>
            </w:r>
            <w:r>
              <w:rPr>
                <w:rFonts w:ascii="仿宋_GB2312" w:hAnsi="仿宋_GB2312" w:cs="仿宋_GB2312" w:eastAsia="仿宋_GB2312"/>
                <w:sz w:val="21"/>
                <w:b/>
              </w:rPr>
              <w:t>运维服务要求</w:t>
            </w:r>
          </w:p>
          <w:p>
            <w:pPr>
              <w:pStyle w:val="null3"/>
              <w:ind w:firstLine="420"/>
              <w:jc w:val="both"/>
            </w:pPr>
            <w:r>
              <w:rPr>
                <w:rFonts w:ascii="仿宋_GB2312" w:hAnsi="仿宋_GB2312" w:cs="仿宋_GB2312" w:eastAsia="仿宋_GB2312"/>
                <w:sz w:val="21"/>
              </w:rPr>
              <w:t>供应商所投算力中心须具备</w:t>
            </w:r>
            <w:r>
              <w:rPr>
                <w:rFonts w:ascii="仿宋_GB2312" w:hAnsi="仿宋_GB2312" w:cs="仿宋_GB2312" w:eastAsia="仿宋_GB2312"/>
                <w:sz w:val="21"/>
              </w:rPr>
              <w:t>7*24小时的机房运维和系统运维能力，提供7*24小时在线运维服务，提供软件的安装、配置、优化服务。</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高性能计算支持服务</w:t>
            </w:r>
          </w:p>
          <w:p>
            <w:pPr>
              <w:pStyle w:val="null3"/>
              <w:ind w:firstLine="420"/>
              <w:jc w:val="both"/>
            </w:pPr>
            <w:r>
              <w:rPr>
                <w:rFonts w:ascii="仿宋_GB2312" w:hAnsi="仿宋_GB2312" w:cs="仿宋_GB2312" w:eastAsia="仿宋_GB2312"/>
                <w:sz w:val="21"/>
              </w:rPr>
              <w:t>供应商所投算力中心所提供的高性能计算支持服务包括：算力平台专业巡检服务、高性能计算系统应急现场故障处理服务、高性能计算基础环境使用培训服务、高性能计算系统管理及优化培训服务。</w:t>
            </w:r>
          </w:p>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重大项目保障服务</w:t>
            </w:r>
          </w:p>
          <w:p>
            <w:pPr>
              <w:pStyle w:val="null3"/>
              <w:ind w:firstLine="420"/>
              <w:jc w:val="both"/>
            </w:pPr>
            <w:r>
              <w:rPr>
                <w:rFonts w:ascii="仿宋_GB2312" w:hAnsi="仿宋_GB2312" w:cs="仿宋_GB2312" w:eastAsia="仿宋_GB2312"/>
                <w:sz w:val="21"/>
              </w:rPr>
              <w:t>供应商所投算力中心所提供的重大项目保障服务包括：提供重大项目关键节点专属保障服务、提供重大项目关键节点支撑能力快速扩展服务。</w:t>
            </w:r>
          </w:p>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工作区域</w:t>
            </w:r>
          </w:p>
          <w:p>
            <w:pPr>
              <w:pStyle w:val="null3"/>
              <w:ind w:firstLine="420"/>
              <w:jc w:val="both"/>
            </w:pPr>
            <w:r>
              <w:rPr>
                <w:rFonts w:ascii="仿宋_GB2312" w:hAnsi="仿宋_GB2312" w:cs="仿宋_GB2312" w:eastAsia="仿宋_GB2312"/>
                <w:sz w:val="21"/>
              </w:rPr>
              <w:t>采购人指定地点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质保期：</w:t>
            </w:r>
          </w:p>
          <w:p>
            <w:pPr>
              <w:pStyle w:val="null3"/>
              <w:ind w:firstLine="400"/>
              <w:jc w:val="both"/>
            </w:pPr>
            <w:r>
              <w:rPr>
                <w:rFonts w:ascii="仿宋_GB2312" w:hAnsi="仿宋_GB2312" w:cs="仿宋_GB2312" w:eastAsia="仿宋_GB2312"/>
                <w:sz w:val="21"/>
              </w:rPr>
              <w:t>服务期限内即自合同签订之日起免费质保一年。</w:t>
            </w:r>
          </w:p>
          <w:p>
            <w:pPr>
              <w:pStyle w:val="null3"/>
              <w:jc w:val="both"/>
            </w:pPr>
            <w:r>
              <w:rPr>
                <w:rFonts w:ascii="仿宋_GB2312" w:hAnsi="仿宋_GB2312" w:cs="仿宋_GB2312" w:eastAsia="仿宋_GB2312"/>
                <w:sz w:val="21"/>
                <w:b/>
              </w:rPr>
              <w:t>2.故障响应</w:t>
            </w:r>
          </w:p>
          <w:p>
            <w:pPr>
              <w:pStyle w:val="null3"/>
              <w:ind w:firstLine="400"/>
              <w:jc w:val="both"/>
            </w:pPr>
            <w:r>
              <w:rPr>
                <w:rFonts w:ascii="仿宋_GB2312" w:hAnsi="仿宋_GB2312" w:cs="仿宋_GB2312" w:eastAsia="仿宋_GB2312"/>
                <w:sz w:val="21"/>
              </w:rPr>
              <w:t>(1）在接到用户的服务要求通知后，10分钟内给予响应，售后服务人员须在2小时内提供技术支持。</w:t>
            </w:r>
          </w:p>
          <w:p>
            <w:pPr>
              <w:pStyle w:val="null3"/>
              <w:ind w:firstLine="400"/>
              <w:jc w:val="both"/>
            </w:pPr>
            <w:r>
              <w:rPr>
                <w:rFonts w:ascii="仿宋_GB2312" w:hAnsi="仿宋_GB2312" w:cs="仿宋_GB2312" w:eastAsia="仿宋_GB2312"/>
                <w:sz w:val="21"/>
              </w:rPr>
              <w:t>(2)一般问题2小时内解决；较大问题在4小时以内解决；重大问题4小时内提出解决方案，并在24小时内解决。</w:t>
            </w:r>
          </w:p>
          <w:p>
            <w:pPr>
              <w:pStyle w:val="null3"/>
              <w:ind w:firstLine="400"/>
              <w:jc w:val="both"/>
            </w:pPr>
            <w:r>
              <w:rPr>
                <w:rFonts w:ascii="仿宋_GB2312" w:hAnsi="仿宋_GB2312" w:cs="仿宋_GB2312" w:eastAsia="仿宋_GB2312"/>
                <w:sz w:val="21"/>
              </w:rPr>
              <w:t>(3）如需现场服务的，应具有解决故障能力的工程师在接到报修通知次日到达现场。</w:t>
            </w:r>
          </w:p>
          <w:p>
            <w:pPr>
              <w:pStyle w:val="null3"/>
              <w:ind w:firstLine="400"/>
              <w:jc w:val="both"/>
            </w:pPr>
            <w:r>
              <w:rPr>
                <w:rFonts w:ascii="仿宋_GB2312" w:hAnsi="仿宋_GB2312" w:cs="仿宋_GB2312" w:eastAsia="仿宋_GB2312"/>
                <w:sz w:val="21"/>
              </w:rPr>
              <w:t>(4）供应商所投算力中心须免费提供每周7天，每天15小时的支持服务。</w:t>
            </w:r>
          </w:p>
          <w:p>
            <w:pPr>
              <w:pStyle w:val="null3"/>
              <w:jc w:val="both"/>
            </w:pPr>
            <w:r>
              <w:rPr>
                <w:rFonts w:ascii="仿宋_GB2312" w:hAnsi="仿宋_GB2312" w:cs="仿宋_GB2312" w:eastAsia="仿宋_GB2312"/>
                <w:sz w:val="21"/>
                <w:b/>
              </w:rPr>
              <w:t>3.售后技术支持：</w:t>
            </w:r>
          </w:p>
          <w:p>
            <w:pPr>
              <w:pStyle w:val="null3"/>
              <w:ind w:firstLine="400"/>
              <w:jc w:val="both"/>
            </w:pPr>
            <w:r>
              <w:rPr>
                <w:rFonts w:ascii="仿宋_GB2312" w:hAnsi="仿宋_GB2312" w:cs="仿宋_GB2312" w:eastAsia="仿宋_GB2312"/>
                <w:sz w:val="21"/>
              </w:rPr>
              <w:t>供应商所投算力中心须具备提供基础系统维护服务、协助采购人进行气象计算软件及系统部署能力，以保障对用户服务需求及时快速的响应能力。必要时须能够提供驻场服务，可由供应商和采购人协商。</w:t>
            </w:r>
          </w:p>
          <w:p>
            <w:pPr>
              <w:pStyle w:val="null3"/>
              <w:spacing w:after="120"/>
              <w:jc w:val="both"/>
            </w:pPr>
            <w:r>
              <w:rPr>
                <w:rFonts w:ascii="仿宋_GB2312" w:hAnsi="仿宋_GB2312" w:cs="仿宋_GB2312" w:eastAsia="仿宋_GB2312"/>
                <w:sz w:val="21"/>
                <w:b/>
              </w:rPr>
              <w:t>4.培训服务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1）培训时间、地点、方式由供应商和采购人协商；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2）培训内容包括：算力平台介绍及基础操作培训、算力平台资源环境配置培训、气象领域高性能计算及相关业务程序部署培训等，满足采购人日常使用需求。培训课程内容可由供应商和采购人协商；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培训对象须覆盖采购人系统管理员、操作员等，可由供应商和采购人协商；</w:t>
            </w:r>
          </w:p>
          <w:p>
            <w:pPr>
              <w:pStyle w:val="null3"/>
              <w:jc w:val="both"/>
            </w:pPr>
            <w:r>
              <w:rPr>
                <w:rFonts w:ascii="仿宋_GB2312" w:hAnsi="仿宋_GB2312" w:cs="仿宋_GB2312" w:eastAsia="仿宋_GB2312"/>
                <w:sz w:val="21"/>
                <w:b/>
              </w:rPr>
              <w:t>5.重大项目保障服务</w:t>
            </w:r>
          </w:p>
          <w:p>
            <w:pPr>
              <w:pStyle w:val="null3"/>
              <w:ind w:firstLine="400"/>
              <w:jc w:val="both"/>
            </w:pPr>
            <w:r>
              <w:rPr>
                <w:rFonts w:ascii="仿宋_GB2312" w:hAnsi="仿宋_GB2312" w:cs="仿宋_GB2312" w:eastAsia="仿宋_GB2312"/>
                <w:sz w:val="21"/>
              </w:rPr>
              <w:t>供应商所投算力中心须提供重大项目专属保障服务、重大项目关键节点支撑能力快速扩展服务。</w:t>
            </w:r>
          </w:p>
          <w:p>
            <w:pPr>
              <w:pStyle w:val="null3"/>
              <w:spacing w:after="120"/>
              <w:jc w:val="both"/>
            </w:pPr>
            <w:r>
              <w:rPr>
                <w:rFonts w:ascii="仿宋_GB2312" w:hAnsi="仿宋_GB2312" w:cs="仿宋_GB2312" w:eastAsia="仿宋_GB2312"/>
                <w:sz w:val="21"/>
                <w:b/>
              </w:rPr>
              <w:t>6.气象服务支撑</w:t>
            </w:r>
          </w:p>
          <w:p>
            <w:pPr>
              <w:pStyle w:val="null3"/>
              <w:jc w:val="both"/>
            </w:pPr>
            <w:r>
              <w:rPr>
                <w:rFonts w:ascii="仿宋_GB2312" w:hAnsi="仿宋_GB2312" w:cs="仿宋_GB2312" w:eastAsia="仿宋_GB2312"/>
                <w:sz w:val="21"/>
              </w:rPr>
              <w:t>供应商所投算力中心须具备提供多样的气象服务支撑，包括：气象人工智能应用支撑服务、气象科研创新应用开发技术支撑服务、气象科研创新应用测试验证支撑服务等，具体支撑服务内容可由供应商和采购人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合同签订15个工作日内</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供应商根据甲方要求制定周年服务方案并经过甲方组织专家评审同意后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合同中未约定的，按《民法典》中的相关条款执行。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标明供应商名称。若线上电子响应文件与纸质响应文件不一致以电子响应文件为准；若正本和副本不符，以正本为准。 线下递交时间同线上响应文件递交截止时间 ；线下递交文件地点：陕西省西安市碑林区长安国际中心F座17层第二会议室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网查信用截图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代理商参加条件</w:t>
            </w:r>
          </w:p>
        </w:tc>
        <w:tc>
          <w:tcPr>
            <w:tcW w:type="dxa" w:w="3322"/>
          </w:tcPr>
          <w:p>
            <w:pPr>
              <w:pStyle w:val="null3"/>
            </w:pPr>
            <w:r>
              <w:rPr>
                <w:rFonts w:ascii="仿宋_GB2312" w:hAnsi="仿宋_GB2312" w:cs="仿宋_GB2312" w:eastAsia="仿宋_GB2312"/>
              </w:rPr>
              <w:t>代理商参加投标的，提供针对本项目算力中心开具的计算资源服务授权书；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提供2024年度经审计的财务报告或提交响应文件截止时间三个月内其基本账户开户银行出具的资信证明或财政部门认可的政府采购专业担保机构出具的投标担保函（以上三种形式的资料提供任何一种即可）；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（4）第一次磋商报价：第一次磋商报价不超过最高限价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（2）服务期限：应满足磋商文件中要求的服务期 （3）服务地点：应满足磋商文件中要求的服务地点 （4）磋商有效期：应满足磋商文件中的规定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整体技术服务方案</w:t>
            </w:r>
          </w:p>
        </w:tc>
        <w:tc>
          <w:tcPr>
            <w:tcW w:type="dxa" w:w="2492"/>
          </w:tcPr>
          <w:p>
            <w:pPr>
              <w:pStyle w:val="null3"/>
            </w:pPr>
            <w:r>
              <w:rPr>
                <w:rFonts w:ascii="仿宋_GB2312" w:hAnsi="仿宋_GB2312" w:cs="仿宋_GB2312" w:eastAsia="仿宋_GB2312"/>
              </w:rPr>
              <w:t>根据采购要求和技术响应情况，对供应商提供的整体技术服务方案进行综合评价： 1、技术服务方案内容完整且包含采购需求中的所有内容、科学合理、针对性强，有清晰的设计思路，同时针对项目实施过程中遇到的问题及因素有充分的可行建议和措施，并能完全满足采购文件要求的得（13-20]分； 2、有技术服务方案内容不够完整具体且针对采购需求中的内容不够详细、没有清晰的设计思路，可操作性不够强，基本合理可行，基本满足采购文件要求的得（6-13]分； 3、技术服务方案简单、思路不够清晰，有明显的缺项，未基本满足采购文件要求或未提供技术服务方案得（0-6]分；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对故障诊断、故障恢复、维护管理等，有详细、可行的保障服务措施及方案。方案详尽，合理可行，逻辑清楚，针对性及可行性强，得（10-15]分；方案较完善，有一定的逻辑性、针对性、可行性，得（5-10]分；方案内容简单笼统，得（0-5]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A.培训方案完善合理，针对性强，确保相关人员能够熟练掌握产品操作、排除一般故障，得（10-15]分； B.培训方案基本合理，有一定针对性，得（5-10]分； C.培训方案简单笼统，针对性欠缺，得（0-5]分； D.其他或未提供不得分。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服务质量保证承诺</w:t>
            </w:r>
          </w:p>
        </w:tc>
        <w:tc>
          <w:tcPr>
            <w:tcW w:type="dxa" w:w="2492"/>
          </w:tcPr>
          <w:p>
            <w:pPr>
              <w:pStyle w:val="null3"/>
            </w:pPr>
            <w:r>
              <w:rPr>
                <w:rFonts w:ascii="仿宋_GB2312" w:hAnsi="仿宋_GB2312" w:cs="仿宋_GB2312" w:eastAsia="仿宋_GB2312"/>
              </w:rPr>
              <w:t>提供针对本项目的服务质量保证承诺（承诺内容包括：健全的质量控制体系、质量保证措施、质量控制目标的合理分解，并有质量目标无法实现时的认罚承诺）。承诺内容全面，合理可行，针对性强，得（5-10]分；承诺内容基本可行，有一定的针对性，得（0-5]分；承诺内容简单笼统，无针对性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内容全面、具备完善的服务体系，具有完备的应急事件处置措施、针对性和可操作性强，且能完全满足采购文件要求的得(15-20]分；售后服务方案内容基本全面、基本具备服务体系，具有应急事件处置措施、可操作性较强，且部分满足采购文件的要求得(10-15]分；售后服务方案简单笼统，基本可行，得(5-10]分；内容缺项太多，无针对性或未提供售后服务方案的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技术团队配备</w:t>
            </w:r>
          </w:p>
        </w:tc>
        <w:tc>
          <w:tcPr>
            <w:tcW w:type="dxa" w:w="2492"/>
          </w:tcPr>
          <w:p>
            <w:pPr>
              <w:pStyle w:val="null3"/>
            </w:pPr>
            <w:r>
              <w:rPr>
                <w:rFonts w:ascii="仿宋_GB2312" w:hAnsi="仿宋_GB2312" w:cs="仿宋_GB2312" w:eastAsia="仿宋_GB2312"/>
              </w:rPr>
              <w:t>拟派本项目主要技术团队人员架构清晰，职能明确，人员数量和专业技术能力能满足本项目采购需求。 1.根据供应商对本项目需求的理解及各人员配备情况，计0-5分。 2.项目负责人本科及以上学历、具有中级及以上专业技术职称得2分；每提供一个3年以上类似项目工作经验得1分，满分3分。【项目负责人须提供证明材料包含但不限于身份证、学历证等，如证明材料不全或不符合要求，将不计得分。】此项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采用低价优先法计算，即满足磋商文件要求且最终报价最低的供应商的价格为评审基准价，其价格分为满分。 报价得分＝（评审基准价/最终报价）×10 备注：（1）当磋商小组认为某个供应商的最终报价明显低于其他通过符合性审查供应商的报价，有可能影响项目质量和不能诚信履约的，要求其在磋商小组规定的期限内提供书面文件予以解释说明，并提交相关证明材料；如果其不能在磋商小组规定时间内提供相关材料证明其报价的合理性，其最终报价为无效报价。（2）本项目为专门面向小微企业采购，不在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