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版本号：0701-2541SX05000520250429001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渗滤液处理运行服务采购项目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0701-2541SX050005</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渗滤液处理运行服务采购项目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0701-2541SX050005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渗滤液处理运行服务采购项目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本次招标项目为渗滤液处理设备运行服务，旨在确保渗滤液处理设备的高效、稳定运行，确保处理后的水质满足环保排放标准，保障周边环境生态安全。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采购包1（渗滤液处理运行服务采购项目）：属于专门面向中小企业采购。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本次招标项目为渗滤液处理设备运行服务，旨在确保渗滤液处理设备的高效、稳定运行，确保处理后的水质满足环保排放标准，保障周边环境生态安全。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787,300.00</w:t>
      </w:r>
    </w:p>
    <w:p>
      <w:pPr>
        <w:pStyle w:val="null3"/>
      </w:pPr>
      <w:r>
        <w:rPr>
          <w:rFonts w:ascii="仿宋_GB2312" w:hAnsi="仿宋_GB2312" w:cs="仿宋_GB2312" w:eastAsia="仿宋_GB2312"/>
        </w:rPr>
        <w:t>采购包最高限价（元）: 787,300.00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渗滤液处理运行服务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787,300.00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标的名称：渗滤液处理运行服务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18"/>
              </w:rPr>
              <w:t xml:space="preserve"> </w:t>
            </w:r>
            <w:r>
              <w:rPr>
                <w:rFonts w:ascii="仿宋_GB2312" w:hAnsi="仿宋_GB2312" w:cs="仿宋_GB2312" w:eastAsia="仿宋_GB2312"/>
                <w:sz w:val="18"/>
              </w:rPr>
              <w:t>一、项目概述</w:t>
            </w:r>
          </w:p>
          <w:p>
            <w:pPr>
              <w:pStyle w:val="null3"/>
              <w:ind w:firstLine="640"/>
              <w:jc w:val="left"/>
            </w:pPr>
            <w:r>
              <w:rPr>
                <w:rFonts w:ascii="仿宋_GB2312" w:hAnsi="仿宋_GB2312" w:cs="仿宋_GB2312" w:eastAsia="仿宋_GB2312"/>
                <w:sz w:val="18"/>
              </w:rPr>
              <w:t>本次招标项目为渗滤液处理设备运行服务，旨在确保渗滤液处理设备的高效、稳定运行，确保处理后的水质满足环保排放标准，保障周边环境生态安全。</w:t>
            </w:r>
          </w:p>
          <w:p>
            <w:pPr>
              <w:pStyle w:val="null3"/>
              <w:ind w:firstLine="640"/>
              <w:jc w:val="left"/>
            </w:pPr>
            <w:r>
              <w:rPr>
                <w:rFonts w:ascii="仿宋_GB2312" w:hAnsi="仿宋_GB2312" w:cs="仿宋_GB2312" w:eastAsia="仿宋_GB2312"/>
                <w:sz w:val="18"/>
              </w:rPr>
              <w:t>本站渗滤液</w:t>
            </w:r>
            <w:r>
              <w:rPr>
                <w:rFonts w:ascii="仿宋_GB2312" w:hAnsi="仿宋_GB2312" w:cs="仿宋_GB2312" w:eastAsia="仿宋_GB2312"/>
                <w:sz w:val="18"/>
              </w:rPr>
              <w:t>处理工艺</w:t>
            </w:r>
            <w:r>
              <w:rPr>
                <w:rFonts w:ascii="仿宋_GB2312" w:hAnsi="仿宋_GB2312" w:cs="仿宋_GB2312" w:eastAsia="仿宋_GB2312"/>
                <w:sz w:val="18"/>
              </w:rPr>
              <w:t>为</w:t>
            </w:r>
            <w:r>
              <w:rPr>
                <w:rFonts w:ascii="仿宋_GB2312" w:hAnsi="仿宋_GB2312" w:cs="仿宋_GB2312" w:eastAsia="仿宋_GB2312"/>
                <w:sz w:val="18"/>
              </w:rPr>
              <w:t>:渗滤液→粗、细格栅(利旧)→膜格栅(新增)→调节池(部分改造为隔油池)一气浮→中温厌氧一多级A/0+MBR(一体化设备)一高级氧化(一体化设备)→出水排入城市污水管网。主体设备采用一体化钢制设备，生化系统剩余污泥排入贮泥池经叠螺机脱水后外运进行处置。渗滤液产出的臭气采用生物除臭设备处理，达标排放。</w:t>
            </w:r>
          </w:p>
          <w:p>
            <w:pPr>
              <w:pStyle w:val="null3"/>
              <w:ind w:firstLine="640"/>
              <w:jc w:val="left"/>
            </w:pPr>
            <w:r>
              <w:rPr>
                <w:rFonts w:ascii="仿宋_GB2312" w:hAnsi="仿宋_GB2312" w:cs="仿宋_GB2312" w:eastAsia="仿宋_GB2312"/>
                <w:sz w:val="18"/>
              </w:rPr>
              <w:t>进水水质要求如下表</w:t>
            </w:r>
            <w:r>
              <w:rPr>
                <w:rFonts w:ascii="仿宋_GB2312" w:hAnsi="仿宋_GB2312" w:cs="仿宋_GB2312" w:eastAsia="仿宋_GB2312"/>
                <w:sz w:val="18"/>
              </w:rPr>
              <w:t>1：</w:t>
            </w:r>
          </w:p>
          <w:tbl>
            <w:tblPr>
              <w:tblBorders>
                <w:top w:val="none" w:color="000000" w:sz="4"/>
                <w:left w:val="none" w:color="000000" w:sz="4"/>
                <w:bottom w:val="none" w:color="000000" w:sz="4"/>
                <w:right w:val="none" w:color="000000" w:sz="4"/>
                <w:insideH w:val="none"/>
                <w:insideV w:val="none"/>
              </w:tblBorders>
            </w:tblPr>
            <w:tblGrid>
              <w:gridCol w:w="423"/>
              <w:gridCol w:w="353"/>
              <w:gridCol w:w="353"/>
              <w:gridCol w:w="353"/>
              <w:gridCol w:w="353"/>
              <w:gridCol w:w="353"/>
              <w:gridCol w:w="353"/>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指标</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COD</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BOD</w:t>
                  </w:r>
                  <w:r>
                    <w:rPr>
                      <w:rFonts w:ascii="仿宋_GB2312" w:hAnsi="仿宋_GB2312" w:cs="仿宋_GB2312" w:eastAsia="仿宋_GB2312"/>
                      <w:sz w:val="18"/>
                      <w:b/>
                      <w:vertAlign w:val="subscript"/>
                    </w:rPr>
                    <w:t>5</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SS</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TN</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NH3-N</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TP</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浓度（</w:t>
                  </w:r>
                  <w:r>
                    <w:rPr>
                      <w:rFonts w:ascii="仿宋_GB2312" w:hAnsi="仿宋_GB2312" w:cs="仿宋_GB2312" w:eastAsia="仿宋_GB2312"/>
                      <w:sz w:val="18"/>
                      <w:b/>
                    </w:rPr>
                    <w:t>mg/L）</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26000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12000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1600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900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600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130</w:t>
                  </w:r>
                </w:p>
              </w:tc>
            </w:tr>
          </w:tbl>
          <w:p>
            <w:pPr>
              <w:pStyle w:val="null3"/>
              <w:ind w:firstLine="640"/>
              <w:jc w:val="left"/>
            </w:pPr>
            <w:r>
              <w:rPr>
                <w:rFonts w:ascii="仿宋_GB2312" w:hAnsi="仿宋_GB2312" w:cs="仿宋_GB2312" w:eastAsia="仿宋_GB2312"/>
                <w:sz w:val="18"/>
              </w:rPr>
              <w:t>处理后污水出水水质要求如下表</w:t>
            </w:r>
            <w:r>
              <w:rPr>
                <w:rFonts w:ascii="仿宋_GB2312" w:hAnsi="仿宋_GB2312" w:cs="仿宋_GB2312" w:eastAsia="仿宋_GB2312"/>
                <w:sz w:val="18"/>
              </w:rPr>
              <w:t>2：</w:t>
            </w:r>
          </w:p>
          <w:tbl>
            <w:tblPr>
              <w:tblInd w:type="dxa" w:w="135"/>
              <w:tblBorders>
                <w:top w:val="none" w:color="000000" w:sz="4"/>
                <w:left w:val="none" w:color="000000" w:sz="4"/>
                <w:bottom w:val="none" w:color="000000" w:sz="4"/>
                <w:right w:val="none" w:color="000000" w:sz="4"/>
                <w:insideH w:val="none"/>
                <w:insideV w:val="none"/>
              </w:tblBorders>
            </w:tblPr>
            <w:tblGrid>
              <w:gridCol w:w="450"/>
              <w:gridCol w:w="343"/>
              <w:gridCol w:w="343"/>
              <w:gridCol w:w="343"/>
              <w:gridCol w:w="339"/>
              <w:gridCol w:w="343"/>
              <w:gridCol w:w="384"/>
            </w:tblGrid>
            <w:tr>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指标</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COD</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BOD5</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SS</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TN</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NH3-N</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TP</w:t>
                  </w:r>
                </w:p>
              </w:tc>
            </w:tr>
            <w:tr>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浓度（</w:t>
                  </w:r>
                  <w:r>
                    <w:rPr>
                      <w:rFonts w:ascii="仿宋_GB2312" w:hAnsi="仿宋_GB2312" w:cs="仿宋_GB2312" w:eastAsia="仿宋_GB2312"/>
                      <w:sz w:val="18"/>
                      <w:b/>
                    </w:rPr>
                    <w:t>mg/L）</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≤500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≤300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≤45</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w:t>
                  </w:r>
                </w:p>
              </w:tc>
            </w:tr>
          </w:tbl>
          <w:p>
            <w:pPr>
              <w:pStyle w:val="null3"/>
              <w:ind w:firstLine="640"/>
              <w:jc w:val="left"/>
            </w:pPr>
            <w:r>
              <w:rPr>
                <w:rFonts w:ascii="仿宋_GB2312" w:hAnsi="仿宋_GB2312" w:cs="仿宋_GB2312" w:eastAsia="仿宋_GB2312"/>
                <w:sz w:val="18"/>
              </w:rPr>
              <w:t xml:space="preserve"> </w:t>
            </w:r>
            <w:r>
              <w:rPr>
                <w:rFonts w:ascii="仿宋_GB2312" w:hAnsi="仿宋_GB2312" w:cs="仿宋_GB2312" w:eastAsia="仿宋_GB2312"/>
                <w:sz w:val="18"/>
              </w:rPr>
              <w:t>二、服务范围</w:t>
            </w:r>
          </w:p>
          <w:p>
            <w:pPr>
              <w:pStyle w:val="null3"/>
              <w:ind w:firstLine="640"/>
              <w:jc w:val="left"/>
            </w:pPr>
            <w:r>
              <w:rPr>
                <w:rFonts w:ascii="仿宋_GB2312" w:hAnsi="仿宋_GB2312" w:cs="仿宋_GB2312" w:eastAsia="仿宋_GB2312"/>
                <w:sz w:val="18"/>
              </w:rPr>
              <w:t>1.设备运行管理</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负责渗滤液处理设备的日常启动、停止、运行监控及操作，确保设备按照工艺要求和运行参数稳定运行。</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对设备运行数据进行实时记录和分析，包括但不限于流量、水质指标（如</w:t>
            </w:r>
            <w:r>
              <w:rPr>
                <w:rFonts w:ascii="仿宋_GB2312" w:hAnsi="仿宋_GB2312" w:cs="仿宋_GB2312" w:eastAsia="仿宋_GB2312"/>
                <w:sz w:val="18"/>
              </w:rPr>
              <w:t>COD、氨氮、总氮、总磷等）、处理效率、设备运行时间等，每日形成运行报表，并定期（每周、每月）提交运行总结报告。</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根据设备运行情况，</w:t>
            </w:r>
            <w:r>
              <w:rPr>
                <w:rFonts w:ascii="仿宋_GB2312" w:hAnsi="仿宋_GB2312" w:cs="仿宋_GB2312" w:eastAsia="仿宋_GB2312"/>
                <w:sz w:val="18"/>
              </w:rPr>
              <w:t>建立运行台账，做好各项记录，</w:t>
            </w:r>
            <w:r>
              <w:rPr>
                <w:rFonts w:ascii="仿宋_GB2312" w:hAnsi="仿宋_GB2312" w:cs="仿宋_GB2312" w:eastAsia="仿宋_GB2312"/>
                <w:sz w:val="18"/>
              </w:rPr>
              <w:t>及时调整运行参数，优化处理工艺，确保渗滤液处理效果达到设计标准和环保要求。</w:t>
            </w:r>
          </w:p>
          <w:p>
            <w:pPr>
              <w:pStyle w:val="null3"/>
              <w:ind w:firstLine="640"/>
              <w:jc w:val="left"/>
            </w:pPr>
            <w:r>
              <w:rPr>
                <w:rFonts w:ascii="仿宋_GB2312" w:hAnsi="仿宋_GB2312" w:cs="仿宋_GB2312" w:eastAsia="仿宋_GB2312"/>
                <w:sz w:val="18"/>
              </w:rPr>
              <w:t>2.设备维护保养</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制定详细的设备维护保养计划，包括日常巡检、定期维护、预防性维护和故障维修等内容，确保设备处于良好运行状态，减少设备故障发生率。</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每日对设备进行巡检，检查设备外观、运行声音、仪表显示、管道阀门等是否正常，及时发现并处理设备运行中的异常情况。巡检记录应详细、准确，包括巡检时间、巡检人员、设备运行状况、发现的问题及处理措施等。</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按照设备维护保养手册和相关标准规范，定期对设备进行维护保养，包括但不限于设备清洁、润滑、紧固、防腐、更换易损件等工作。维护保养工作应提前通知甲方，并在规定时间内完成，不得影响设备正常运行。</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建立设备维修档案，详细记录设备故障时间、故障现象、故障原因、维修过程、更换零部件情况及维修后设备运行状况等信息，以便对设备运行状态进行跟踪分析和评估。</w:t>
            </w:r>
          </w:p>
          <w:p>
            <w:pPr>
              <w:pStyle w:val="null3"/>
              <w:ind w:firstLine="640"/>
              <w:jc w:val="left"/>
            </w:pPr>
            <w:r>
              <w:rPr>
                <w:rFonts w:ascii="仿宋_GB2312" w:hAnsi="仿宋_GB2312" w:cs="仿宋_GB2312" w:eastAsia="仿宋_GB2312"/>
                <w:sz w:val="18"/>
              </w:rPr>
              <w:t>3.水质监测与达标排放</w:t>
            </w:r>
          </w:p>
          <w:p>
            <w:pPr>
              <w:pStyle w:val="null3"/>
              <w:ind w:firstLine="640"/>
              <w:jc w:val="left"/>
            </w:pPr>
            <w:r>
              <w:rPr>
                <w:rFonts w:ascii="仿宋_GB2312" w:hAnsi="仿宋_GB2312" w:cs="仿宋_GB2312" w:eastAsia="仿宋_GB2312"/>
                <w:sz w:val="18"/>
              </w:rPr>
              <w:t>负责渗滤液处理过程中的水质监测工作，按照国家相关标准和规范要求，定期对进水、出水水质进行采样分析，监测项目包括但不限于</w:t>
            </w:r>
            <w:r>
              <w:rPr>
                <w:rFonts w:ascii="仿宋_GB2312" w:hAnsi="仿宋_GB2312" w:cs="仿宋_GB2312" w:eastAsia="仿宋_GB2312"/>
                <w:sz w:val="18"/>
              </w:rPr>
              <w:t>COD、BOD₅、氨氮、总氮、总磷、SS、pH值等。采样频率应满足环保部门</w:t>
            </w:r>
            <w:r>
              <w:rPr>
                <w:rFonts w:ascii="仿宋_GB2312" w:hAnsi="仿宋_GB2312" w:cs="仿宋_GB2312" w:eastAsia="仿宋_GB2312"/>
                <w:sz w:val="18"/>
              </w:rPr>
              <w:t>及中转站排污可证</w:t>
            </w:r>
            <w:r>
              <w:rPr>
                <w:rFonts w:ascii="仿宋_GB2312" w:hAnsi="仿宋_GB2312" w:cs="仿宋_GB2312" w:eastAsia="仿宋_GB2312"/>
                <w:sz w:val="18"/>
              </w:rPr>
              <w:t>要求，且每月不少于</w:t>
            </w:r>
            <w:r>
              <w:rPr>
                <w:rFonts w:ascii="仿宋_GB2312" w:hAnsi="仿宋_GB2312" w:cs="仿宋_GB2312" w:eastAsia="仿宋_GB2312"/>
                <w:sz w:val="18"/>
                <w:color w:val="C00000"/>
                <w:u w:val="single"/>
              </w:rPr>
              <w:t>1</w:t>
            </w:r>
            <w:r>
              <w:rPr>
                <w:rFonts w:ascii="仿宋_GB2312" w:hAnsi="仿宋_GB2312" w:cs="仿宋_GB2312" w:eastAsia="仿宋_GB2312"/>
                <w:sz w:val="18"/>
              </w:rPr>
              <w:t>次。</w:t>
            </w:r>
          </w:p>
          <w:p>
            <w:pPr>
              <w:pStyle w:val="null3"/>
              <w:ind w:firstLine="640"/>
              <w:jc w:val="left"/>
            </w:pPr>
            <w:r>
              <w:rPr>
                <w:rFonts w:ascii="仿宋_GB2312" w:hAnsi="仿宋_GB2312" w:cs="仿宋_GB2312" w:eastAsia="仿宋_GB2312"/>
                <w:sz w:val="18"/>
              </w:rPr>
              <w:t>根据水质监测结果，及时调</w:t>
            </w:r>
            <w:r>
              <w:rPr>
                <w:rFonts w:ascii="仿宋_GB2312" w:hAnsi="仿宋_GB2312" w:cs="仿宋_GB2312" w:eastAsia="仿宋_GB2312"/>
                <w:sz w:val="18"/>
              </w:rPr>
              <w:t>整</w:t>
            </w:r>
            <w:r>
              <w:rPr>
                <w:rFonts w:ascii="仿宋_GB2312" w:hAnsi="仿宋_GB2312" w:cs="仿宋_GB2312" w:eastAsia="仿宋_GB2312"/>
                <w:sz w:val="18"/>
              </w:rPr>
              <w:t>处理工艺和运行参数，确保出水水质达到国家和地方规定的排放标准。</w:t>
            </w:r>
            <w:r>
              <w:rPr>
                <w:rFonts w:ascii="仿宋_GB2312" w:hAnsi="仿宋_GB2312" w:cs="仿宋_GB2312" w:eastAsia="仿宋_GB2312"/>
                <w:sz w:val="18"/>
              </w:rPr>
              <w:t>若</w:t>
            </w:r>
            <w:r>
              <w:rPr>
                <w:rFonts w:ascii="仿宋_GB2312" w:hAnsi="仿宋_GB2312" w:cs="仿宋_GB2312" w:eastAsia="仿宋_GB2312"/>
                <w:sz w:val="18"/>
              </w:rPr>
              <w:t>出水水质</w:t>
            </w:r>
            <w:r>
              <w:rPr>
                <w:rFonts w:ascii="仿宋_GB2312" w:hAnsi="仿宋_GB2312" w:cs="仿宋_GB2312" w:eastAsia="仿宋_GB2312"/>
                <w:sz w:val="18"/>
              </w:rPr>
              <w:t>不达</w:t>
            </w:r>
            <w:r>
              <w:rPr>
                <w:rFonts w:ascii="仿宋_GB2312" w:hAnsi="仿宋_GB2312" w:cs="仿宋_GB2312" w:eastAsia="仿宋_GB2312"/>
                <w:sz w:val="18"/>
              </w:rPr>
              <w:t>标，乙方应立即采取有效措施进行处理，并及时通知甲方，同时提交超标原因分析报告和整改方案。</w:t>
            </w:r>
            <w:r>
              <w:rPr>
                <w:rFonts w:ascii="仿宋_GB2312" w:hAnsi="仿宋_GB2312" w:cs="仿宋_GB2312" w:eastAsia="仿宋_GB2312"/>
                <w:sz w:val="18"/>
              </w:rPr>
              <w:t>甲方随时抽检，若</w:t>
            </w:r>
            <w:r>
              <w:rPr>
                <w:rFonts w:ascii="仿宋_GB2312" w:hAnsi="仿宋_GB2312" w:cs="仿宋_GB2312" w:eastAsia="仿宋_GB2312"/>
                <w:sz w:val="18"/>
              </w:rPr>
              <w:t>出水水质</w:t>
            </w:r>
            <w:r>
              <w:rPr>
                <w:rFonts w:ascii="仿宋_GB2312" w:hAnsi="仿宋_GB2312" w:cs="仿宋_GB2312" w:eastAsia="仿宋_GB2312"/>
                <w:sz w:val="18"/>
              </w:rPr>
              <w:t>不达</w:t>
            </w:r>
            <w:r>
              <w:rPr>
                <w:rFonts w:ascii="仿宋_GB2312" w:hAnsi="仿宋_GB2312" w:cs="仿宋_GB2312" w:eastAsia="仿宋_GB2312"/>
                <w:sz w:val="18"/>
              </w:rPr>
              <w:t>标</w:t>
            </w:r>
            <w:r>
              <w:rPr>
                <w:rFonts w:ascii="仿宋_GB2312" w:hAnsi="仿宋_GB2312" w:cs="仿宋_GB2312" w:eastAsia="仿宋_GB2312"/>
                <w:sz w:val="18"/>
              </w:rPr>
              <w:t>，</w:t>
            </w:r>
            <w:r>
              <w:rPr>
                <w:rFonts w:ascii="仿宋_GB2312" w:hAnsi="仿宋_GB2312" w:cs="仿宋_GB2312" w:eastAsia="仿宋_GB2312"/>
                <w:sz w:val="18"/>
              </w:rPr>
              <w:t>甲方有权要求乙方支付违约金，并承担由此给甲方造成的一切损失。</w:t>
            </w:r>
          </w:p>
          <w:p>
            <w:pPr>
              <w:pStyle w:val="null3"/>
              <w:ind w:firstLine="640"/>
              <w:jc w:val="left"/>
            </w:pPr>
            <w:r>
              <w:rPr>
                <w:rFonts w:ascii="仿宋_GB2312" w:hAnsi="仿宋_GB2312" w:cs="仿宋_GB2312" w:eastAsia="仿宋_GB2312"/>
                <w:sz w:val="18"/>
              </w:rPr>
              <w:t>配合环保部门对渗滤液处理设备的监督检查和水质抽检工作，及时提供相关资料和数据，确保监督检查顺利进行。</w:t>
            </w:r>
          </w:p>
          <w:p>
            <w:pPr>
              <w:pStyle w:val="null3"/>
              <w:ind w:firstLine="640"/>
              <w:jc w:val="left"/>
            </w:pPr>
            <w:r>
              <w:rPr>
                <w:rFonts w:ascii="仿宋_GB2312" w:hAnsi="仿宋_GB2312" w:cs="仿宋_GB2312" w:eastAsia="仿宋_GB2312"/>
                <w:sz w:val="18"/>
              </w:rPr>
              <w:t>4.二次污染预防：设置二次污染应急控制点，如污泥存储、废气排放及废水突增处理措施，确保安全可控。</w:t>
            </w:r>
          </w:p>
          <w:p>
            <w:pPr>
              <w:pStyle w:val="null3"/>
              <w:ind w:firstLine="640"/>
              <w:jc w:val="left"/>
            </w:pPr>
            <w:r>
              <w:rPr>
                <w:rFonts w:ascii="仿宋_GB2312" w:hAnsi="仿宋_GB2312" w:cs="仿宋_GB2312" w:eastAsia="仿宋_GB2312"/>
                <w:sz w:val="18"/>
              </w:rPr>
              <w:t>负责渗滤液处理过程中产生的污泥的收集等工作，确保污泥含水率达到设计要求，便于后续处置。</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按照环保部门要求，对污泥进行规范处置，选择合法、合规的污泥处置单位，并签订污泥处置合同。污泥处置过程应符合国家相关法律法规和标准规范要求，不得对环境造成二次污染。</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建立污泥管理台账，详细记录污泥产生量、处置量、处置去向、处置方式等信息，定期向甲方报告污泥处置情况。</w:t>
            </w:r>
          </w:p>
          <w:p>
            <w:pPr>
              <w:pStyle w:val="null3"/>
              <w:ind w:firstLine="640"/>
              <w:jc w:val="left"/>
            </w:pP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设备运行安全管理</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建立健全设备运行安全管理制度，制定设备操作规程、安全检查制度、应急预案等，确保设备运行过程中的人员安全和设备安全。</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对运行服务人员进行安全教育培训，使其熟悉设备运行安全知识和应急处置措施，持证上岗率达到</w:t>
            </w:r>
            <w:r>
              <w:rPr>
                <w:rFonts w:ascii="仿宋_GB2312" w:hAnsi="仿宋_GB2312" w:cs="仿宋_GB2312" w:eastAsia="仿宋_GB2312"/>
                <w:sz w:val="18"/>
              </w:rPr>
              <w:t>100%。</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定期对设备运行场所进行安全检查，排查安全隐患，及时整改发现的问题。对可能发生的设备故障、火灾、爆炸、泄漏等安全事故制定应急预案，并定期组织演练，提高应急处置能力。</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在设备运行过程中，严格遵守安全操作规程，确保人员和设备安全。若因乙方违反安全操作规程导致的安全事故，由乙方承担全部责任，并赔偿由此给甲方造成的一切损失。</w:t>
            </w:r>
          </w:p>
          <w:p>
            <w:pPr>
              <w:pStyle w:val="null3"/>
              <w:ind w:firstLine="640"/>
              <w:jc w:val="left"/>
            </w:pPr>
            <w:r>
              <w:rPr>
                <w:rFonts w:ascii="仿宋_GB2312" w:hAnsi="仿宋_GB2312" w:cs="仿宋_GB2312" w:eastAsia="仿宋_GB2312"/>
                <w:sz w:val="18"/>
              </w:rPr>
              <w:t>三</w:t>
            </w:r>
            <w:r>
              <w:rPr>
                <w:rFonts w:ascii="仿宋_GB2312" w:hAnsi="仿宋_GB2312" w:cs="仿宋_GB2312" w:eastAsia="仿宋_GB2312"/>
                <w:sz w:val="18"/>
              </w:rPr>
              <w:t>、人员配备要求</w:t>
            </w:r>
          </w:p>
          <w:p>
            <w:pPr>
              <w:pStyle w:val="null3"/>
              <w:ind w:firstLine="640"/>
              <w:jc w:val="left"/>
            </w:pPr>
            <w:r>
              <w:rPr>
                <w:rFonts w:ascii="仿宋_GB2312" w:hAnsi="仿宋_GB2312" w:cs="仿宋_GB2312" w:eastAsia="仿宋_GB2312"/>
                <w:sz w:val="18"/>
              </w:rPr>
              <w:t>乙方应组建专业、稳定的运行服务团队，团队成员应了解渗滤液处理工艺和与之相关的安全、质量、环境等规定；各岗位运行操作和维护人员应经培训合格后上岗，并定期考核。</w:t>
            </w:r>
          </w:p>
          <w:p>
            <w:pPr>
              <w:pStyle w:val="null3"/>
              <w:ind w:firstLine="640"/>
              <w:jc w:val="left"/>
            </w:pPr>
            <w:r>
              <w:rPr>
                <w:rFonts w:ascii="仿宋_GB2312" w:hAnsi="仿宋_GB2312" w:cs="仿宋_GB2312" w:eastAsia="仿宋_GB2312"/>
                <w:sz w:val="18"/>
              </w:rPr>
              <w:t>1.</w:t>
            </w:r>
            <w:r>
              <w:rPr>
                <w:rFonts w:ascii="仿宋_GB2312" w:hAnsi="仿宋_GB2312" w:cs="仿宋_GB2312" w:eastAsia="仿宋_GB2312"/>
                <w:sz w:val="18"/>
              </w:rPr>
              <w:t>项目负责人</w:t>
            </w:r>
            <w:r>
              <w:rPr>
                <w:rFonts w:ascii="仿宋_GB2312" w:hAnsi="仿宋_GB2312" w:cs="仿宋_GB2312" w:eastAsia="仿宋_GB2312"/>
                <w:sz w:val="18"/>
              </w:rPr>
              <w:t>1名，</w:t>
            </w:r>
            <w:r>
              <w:rPr>
                <w:rFonts w:ascii="仿宋_GB2312" w:hAnsi="仿宋_GB2312" w:cs="仿宋_GB2312" w:eastAsia="仿宋_GB2312"/>
                <w:sz w:val="18"/>
              </w:rPr>
              <w:t>应</w:t>
            </w:r>
            <w:r>
              <w:rPr>
                <w:rFonts w:ascii="仿宋_GB2312" w:hAnsi="仿宋_GB2312" w:cs="仿宋_GB2312" w:eastAsia="仿宋_GB2312"/>
                <w:sz w:val="18"/>
              </w:rPr>
              <w:t>具备较强的组织协调能力和应急处理能力。项目负责人需常驻现场，负责全面管理工作，未经甲方书面同意，不得擅自更换。</w:t>
            </w:r>
          </w:p>
          <w:p>
            <w:pPr>
              <w:pStyle w:val="null3"/>
              <w:ind w:firstLine="640"/>
            </w:pPr>
            <w:r>
              <w:rPr>
                <w:rFonts w:ascii="仿宋_GB2312" w:hAnsi="仿宋_GB2312" w:cs="仿宋_GB2312" w:eastAsia="仿宋_GB2312"/>
                <w:sz w:val="18"/>
              </w:rPr>
              <w:t>应具备丰富运行管理经验，有较强的组织协调能力；</w:t>
            </w:r>
          </w:p>
          <w:p>
            <w:pPr>
              <w:pStyle w:val="null3"/>
              <w:ind w:firstLine="640"/>
            </w:pPr>
            <w:r>
              <w:rPr>
                <w:rFonts w:ascii="仿宋_GB2312" w:hAnsi="仿宋_GB2312" w:cs="仿宋_GB2312" w:eastAsia="仿宋_GB2312"/>
                <w:sz w:val="18"/>
              </w:rPr>
              <w:t>全面负责处理站运行维护的管理，负责异常情况处理；</w:t>
            </w:r>
          </w:p>
          <w:p>
            <w:pPr>
              <w:pStyle w:val="null3"/>
              <w:ind w:firstLine="640"/>
            </w:pPr>
            <w:r>
              <w:rPr>
                <w:rFonts w:ascii="仿宋_GB2312" w:hAnsi="仿宋_GB2312" w:cs="仿宋_GB2312" w:eastAsia="仿宋_GB2312"/>
                <w:sz w:val="18"/>
              </w:rPr>
              <w:t>全面负责安全管理和工艺管理，定期组织安全教育，组织制定应急预案，及时购买、更换劳动防护用品，定期组织消防及应急预案演练。</w:t>
            </w:r>
          </w:p>
          <w:p>
            <w:pPr>
              <w:pStyle w:val="null3"/>
              <w:ind w:firstLine="640"/>
              <w:jc w:val="left"/>
            </w:pPr>
            <w:r>
              <w:rPr>
                <w:rFonts w:ascii="仿宋_GB2312" w:hAnsi="仿宋_GB2312" w:cs="仿宋_GB2312" w:eastAsia="仿宋_GB2312"/>
                <w:sz w:val="18"/>
              </w:rPr>
              <w:t>2</w:t>
            </w:r>
            <w:r>
              <w:rPr>
                <w:rFonts w:ascii="仿宋_GB2312" w:hAnsi="仿宋_GB2312" w:cs="仿宋_GB2312" w:eastAsia="仿宋_GB2312"/>
                <w:sz w:val="18"/>
              </w:rPr>
              <w:t>.运行操作人员</w:t>
            </w:r>
            <w:r>
              <w:rPr>
                <w:rFonts w:ascii="仿宋_GB2312" w:hAnsi="仿宋_GB2312" w:cs="仿宋_GB2312" w:eastAsia="仿宋_GB2312"/>
                <w:sz w:val="18"/>
              </w:rPr>
              <w:t>3名，</w:t>
            </w:r>
            <w:r>
              <w:rPr>
                <w:rFonts w:ascii="仿宋_GB2312" w:hAnsi="仿宋_GB2312" w:cs="仿宋_GB2312" w:eastAsia="仿宋_GB2312"/>
                <w:sz w:val="18"/>
              </w:rPr>
              <w:t>熟悉渗滤液处理设备的工艺流程和操作规程，具备熟练的操作技能和应急处置能力。运行操作人员数量应满足设备</w:t>
            </w:r>
            <w:r>
              <w:rPr>
                <w:rFonts w:ascii="仿宋_GB2312" w:hAnsi="仿宋_GB2312" w:cs="仿宋_GB2312" w:eastAsia="仿宋_GB2312"/>
                <w:sz w:val="18"/>
              </w:rPr>
              <w:t>24小时不间断运行需求。运行操作人员需保持相对稳定，未经甲方同意，不得随意更换。</w:t>
            </w:r>
          </w:p>
          <w:p>
            <w:pPr>
              <w:pStyle w:val="null3"/>
              <w:ind w:firstLine="640"/>
            </w:pPr>
            <w:r>
              <w:rPr>
                <w:rFonts w:ascii="仿宋_GB2312" w:hAnsi="仿宋_GB2312" w:cs="仿宋_GB2312" w:eastAsia="仿宋_GB2312"/>
                <w:sz w:val="18"/>
              </w:rPr>
              <w:t>应具备本岗位所需要的专业知识，熟悉本站处理工艺和设施、设备的运行要求与技术指标；</w:t>
            </w:r>
          </w:p>
          <w:p>
            <w:pPr>
              <w:pStyle w:val="null3"/>
              <w:ind w:firstLine="640"/>
            </w:pPr>
            <w:r>
              <w:rPr>
                <w:rFonts w:ascii="仿宋_GB2312" w:hAnsi="仿宋_GB2312" w:cs="仿宋_GB2312" w:eastAsia="仿宋_GB2312"/>
                <w:sz w:val="18"/>
              </w:rPr>
              <w:t>熟悉工艺流程和原理，掌握正确的设备操作方法；</w:t>
            </w:r>
          </w:p>
          <w:p>
            <w:pPr>
              <w:pStyle w:val="null3"/>
              <w:ind w:firstLine="640"/>
            </w:pPr>
            <w:r>
              <w:rPr>
                <w:rFonts w:ascii="仿宋_GB2312" w:hAnsi="仿宋_GB2312" w:cs="仿宋_GB2312" w:eastAsia="仿宋_GB2312"/>
                <w:sz w:val="18"/>
              </w:rPr>
              <w:t>当班人员按时对所负责区域进行巡检（间隔</w:t>
            </w:r>
            <w:r>
              <w:rPr>
                <w:rFonts w:ascii="仿宋_GB2312" w:hAnsi="仿宋_GB2312" w:cs="仿宋_GB2312" w:eastAsia="仿宋_GB2312"/>
                <w:sz w:val="18"/>
              </w:rPr>
              <w:t>&lt;2h），发现异常情况及时上报并协助处理，负责填写生产运行日报表和交接班日志；</w:t>
            </w:r>
          </w:p>
          <w:p>
            <w:pPr>
              <w:pStyle w:val="null3"/>
              <w:ind w:firstLine="640"/>
            </w:pPr>
            <w:r>
              <w:rPr>
                <w:rFonts w:ascii="仿宋_GB2312" w:hAnsi="仿宋_GB2312" w:cs="仿宋_GB2312" w:eastAsia="仿宋_GB2312"/>
                <w:sz w:val="18"/>
              </w:rPr>
              <w:t>对工艺运行参数进行监控并根据运行需要及时进行调整；</w:t>
            </w:r>
          </w:p>
          <w:p>
            <w:pPr>
              <w:pStyle w:val="null3"/>
              <w:ind w:firstLine="640"/>
            </w:pPr>
            <w:r>
              <w:rPr>
                <w:rFonts w:ascii="仿宋_GB2312" w:hAnsi="仿宋_GB2312" w:cs="仿宋_GB2312" w:eastAsia="仿宋_GB2312"/>
                <w:sz w:val="18"/>
              </w:rPr>
              <w:t>提出运行所需的各类药剂及耗材采购计划。</w:t>
            </w:r>
          </w:p>
          <w:p>
            <w:pPr>
              <w:pStyle w:val="null3"/>
              <w:ind w:firstLine="640"/>
              <w:jc w:val="left"/>
            </w:pPr>
            <w:r>
              <w:rPr>
                <w:rFonts w:ascii="仿宋_GB2312" w:hAnsi="仿宋_GB2312" w:cs="仿宋_GB2312" w:eastAsia="仿宋_GB2312"/>
                <w:sz w:val="18"/>
              </w:rPr>
              <w:t>四</w:t>
            </w:r>
            <w:r>
              <w:rPr>
                <w:rFonts w:ascii="仿宋_GB2312" w:hAnsi="仿宋_GB2312" w:cs="仿宋_GB2312" w:eastAsia="仿宋_GB2312"/>
                <w:sz w:val="18"/>
              </w:rPr>
              <w:t>、设备及材料供应要求</w:t>
            </w:r>
          </w:p>
          <w:p>
            <w:pPr>
              <w:pStyle w:val="null3"/>
              <w:ind w:firstLine="640"/>
              <w:jc w:val="left"/>
            </w:pPr>
            <w:r>
              <w:rPr>
                <w:rFonts w:ascii="仿宋_GB2312" w:hAnsi="仿宋_GB2312" w:cs="仿宋_GB2312" w:eastAsia="仿宋_GB2312"/>
                <w:sz w:val="18"/>
              </w:rPr>
              <w:t>1.乙方应负责提供设备运行所需的全部药剂、易损件、备品备件等材料，并确保所供材料的质量符合国家相关标准和设备生产厂家的要求。药剂应选用知名品牌产品，具有质量合格证明文件和环保部门认可的资质证书。易损件和备品备件应与设备生产厂家提供的原装产品相匹配，确保设备正常运行。</w:t>
            </w:r>
          </w:p>
          <w:p>
            <w:pPr>
              <w:pStyle w:val="null3"/>
              <w:ind w:firstLine="640"/>
              <w:jc w:val="left"/>
            </w:pPr>
            <w:r>
              <w:rPr>
                <w:rFonts w:ascii="仿宋_GB2312" w:hAnsi="仿宋_GB2312" w:cs="仿宋_GB2312" w:eastAsia="仿宋_GB2312"/>
                <w:sz w:val="18"/>
              </w:rPr>
              <w:t>2.乙方应建立完善的材料采购管理制度和质量检验制度，对采购的材料进行严格的质量检验，确保材料质量合格后方可投入使用。材料采购记录应详细、准确，包括材料名称、规格型号、生产厂家、采购日期、采购数量、质量检验结果等信息，并妥善保存，以备甲方检查。</w:t>
            </w:r>
          </w:p>
          <w:p>
            <w:pPr>
              <w:pStyle w:val="null3"/>
              <w:ind w:firstLine="640"/>
              <w:jc w:val="left"/>
            </w:pPr>
            <w:r>
              <w:rPr>
                <w:rFonts w:ascii="仿宋_GB2312" w:hAnsi="仿宋_GB2312" w:cs="仿宋_GB2312" w:eastAsia="仿宋_GB2312"/>
                <w:sz w:val="18"/>
              </w:rPr>
              <w:t>3.乙方应根据设备运行情况和材料消耗规律，合理储备药剂、易损件、备品备件等材料，确保设备正常运行不受影响。材料储备量应满足设备连续运行7</w:t>
            </w:r>
            <w:r>
              <w:rPr>
                <w:rFonts w:ascii="仿宋_GB2312" w:hAnsi="仿宋_GB2312" w:cs="仿宋_GB2312" w:eastAsia="仿宋_GB2312"/>
                <w:sz w:val="18"/>
              </w:rPr>
              <w:t>天以上的需求。</w:t>
            </w:r>
          </w:p>
          <w:p>
            <w:pPr>
              <w:pStyle w:val="null3"/>
              <w:ind w:firstLine="640"/>
              <w:jc w:val="left"/>
            </w:pPr>
            <w:r>
              <w:rPr>
                <w:rFonts w:ascii="仿宋_GB2312" w:hAnsi="仿宋_GB2312" w:cs="仿宋_GB2312" w:eastAsia="仿宋_GB2312"/>
                <w:sz w:val="18"/>
              </w:rPr>
              <w:t>4.若因乙方提供的材料质量问题导致设备故障或处理效果不达标，乙方应承担全部责任，及时更换合格材料，并赔偿由此给甲方造成的一切损失。</w:t>
            </w:r>
          </w:p>
          <w:p>
            <w:pPr>
              <w:pStyle w:val="null3"/>
              <w:ind w:firstLine="640"/>
              <w:jc w:val="left"/>
            </w:pPr>
            <w:r>
              <w:rPr>
                <w:rFonts w:ascii="仿宋_GB2312" w:hAnsi="仿宋_GB2312" w:cs="仿宋_GB2312" w:eastAsia="仿宋_GB2312"/>
                <w:sz w:val="18"/>
              </w:rPr>
              <w:t>五</w:t>
            </w:r>
            <w:r>
              <w:rPr>
                <w:rFonts w:ascii="仿宋_GB2312" w:hAnsi="仿宋_GB2312" w:cs="仿宋_GB2312" w:eastAsia="仿宋_GB2312"/>
                <w:sz w:val="18"/>
              </w:rPr>
              <w:t>、</w:t>
            </w:r>
            <w:r>
              <w:rPr>
                <w:rFonts w:ascii="仿宋_GB2312" w:hAnsi="仿宋_GB2312" w:cs="仿宋_GB2312" w:eastAsia="仿宋_GB2312"/>
                <w:sz w:val="18"/>
              </w:rPr>
              <w:t>环保要求</w:t>
            </w:r>
          </w:p>
          <w:p>
            <w:pPr>
              <w:pStyle w:val="null3"/>
              <w:ind w:firstLine="640"/>
              <w:jc w:val="left"/>
            </w:pPr>
            <w:r>
              <w:rPr>
                <w:rFonts w:ascii="仿宋_GB2312" w:hAnsi="仿宋_GB2312" w:cs="仿宋_GB2312" w:eastAsia="仿宋_GB2312"/>
                <w:sz w:val="18"/>
              </w:rPr>
              <w:t>1.渗滤液处理设备运行服务应严格遵守国家和地方的环保法律法规，确保处理后的出水水质达到国家和地方规定的排放标准，不得对周边环境造成污染。</w:t>
            </w:r>
          </w:p>
          <w:p>
            <w:pPr>
              <w:pStyle w:val="null3"/>
              <w:ind w:firstLine="640"/>
              <w:jc w:val="left"/>
            </w:pPr>
            <w:r>
              <w:rPr>
                <w:rFonts w:ascii="仿宋_GB2312" w:hAnsi="仿宋_GB2312" w:cs="仿宋_GB2312" w:eastAsia="仿宋_GB2312"/>
                <w:sz w:val="18"/>
              </w:rPr>
              <w:t>2.乙方应采取有效措施，减少设备运行过程中的废气、废水、废渣排放。对设备运行过程中产生的废气应进行收集处理，确保达标排放；对产生的废水应全部回用或达标排放；对产生的废渣应按照环保要求进行规范处置，不得随意丢弃或倾倒。</w:t>
            </w:r>
          </w:p>
          <w:p>
            <w:pPr>
              <w:pStyle w:val="null3"/>
              <w:ind w:firstLine="640"/>
              <w:jc w:val="left"/>
            </w:pPr>
            <w:r>
              <w:rPr>
                <w:rFonts w:ascii="仿宋_GB2312" w:hAnsi="仿宋_GB2312" w:cs="仿宋_GB2312" w:eastAsia="仿宋_GB2312"/>
                <w:sz w:val="18"/>
              </w:rPr>
              <w:t>3.乙方应加强对设备运行场所的环境管理，保持设备运行场所整洁、卫生，无杂物堆放、无异味散发。定期对设备运行场所进行清扫和消毒，防止病菌滋生和传播。</w:t>
            </w:r>
          </w:p>
          <w:p>
            <w:pPr>
              <w:pStyle w:val="null3"/>
              <w:ind w:firstLine="640"/>
              <w:jc w:val="left"/>
            </w:pPr>
            <w:r>
              <w:rPr>
                <w:rFonts w:ascii="仿宋_GB2312" w:hAnsi="仿宋_GB2312" w:cs="仿宋_GB2312" w:eastAsia="仿宋_GB2312"/>
                <w:sz w:val="18"/>
              </w:rPr>
              <w:t>乙方应积极配合甲方和环保部门对渗滤液处理设备的环保监督检查工作，及时提供相关资料和数据，对检查发现的问题及时整改，确保设备运行符合环保要求。</w:t>
            </w:r>
          </w:p>
          <w:p>
            <w:pPr>
              <w:pStyle w:val="null3"/>
              <w:ind w:firstLine="640"/>
              <w:jc w:val="left"/>
            </w:pPr>
            <w:r>
              <w:rPr>
                <w:rFonts w:ascii="仿宋_GB2312" w:hAnsi="仿宋_GB2312" w:cs="仿宋_GB2312" w:eastAsia="仿宋_GB2312"/>
                <w:sz w:val="18"/>
              </w:rPr>
              <w:t>六</w:t>
            </w:r>
            <w:r>
              <w:rPr>
                <w:rFonts w:ascii="仿宋_GB2312" w:hAnsi="仿宋_GB2312" w:cs="仿宋_GB2312" w:eastAsia="仿宋_GB2312"/>
                <w:sz w:val="18"/>
              </w:rPr>
              <w:t>、质量保证与验收要求</w:t>
            </w:r>
          </w:p>
          <w:p>
            <w:pPr>
              <w:pStyle w:val="null3"/>
              <w:ind w:firstLine="640"/>
              <w:jc w:val="left"/>
            </w:pPr>
            <w:r>
              <w:rPr>
                <w:rFonts w:ascii="仿宋_GB2312" w:hAnsi="仿宋_GB2312" w:cs="仿宋_GB2312" w:eastAsia="仿宋_GB2312"/>
                <w:sz w:val="18"/>
              </w:rPr>
              <w:t>乙方应建立完善的质量保证体系，对渗滤液处理设备运行服务的全过程进行质量控制，确保服务质量达到甲方要求。</w:t>
            </w:r>
          </w:p>
          <w:p>
            <w:pPr>
              <w:pStyle w:val="null3"/>
              <w:ind w:firstLine="640"/>
              <w:jc w:val="left"/>
            </w:pPr>
            <w:r>
              <w:rPr>
                <w:rFonts w:ascii="仿宋_GB2312" w:hAnsi="仿宋_GB2312" w:cs="仿宋_GB2312" w:eastAsia="仿宋_GB2312"/>
                <w:sz w:val="18"/>
              </w:rPr>
              <w:t>乙方应按照国家和地方相关标准规范以及本招标要求，定期对设备运行情况进行质量自检，并形成自检报告提交甲方。自检内容包括设备运行参数、处理效果、水质达标情况、设备维护保养情况、人员操作规范性等。</w:t>
            </w:r>
          </w:p>
          <w:p>
            <w:pPr>
              <w:pStyle w:val="null3"/>
              <w:ind w:firstLine="640"/>
              <w:jc w:val="left"/>
            </w:pPr>
            <w:r>
              <w:rPr>
                <w:rFonts w:ascii="仿宋_GB2312" w:hAnsi="仿宋_GB2312" w:cs="仿宋_GB2312" w:eastAsia="仿宋_GB2312"/>
                <w:sz w:val="18"/>
              </w:rPr>
              <w:t>甲方有权对乙方的设备运行服务情况进行不定期检查和抽查，检查内容包括但不限于设备运行状态、水质监测数据、运行记录、维护保养记录、人员配备情况等。若发现乙方存在质量问题或不符合招标要求的情况，甲方有权要求乙方限期整改，并视情节轻重扣除相应违约金。</w:t>
            </w:r>
          </w:p>
          <w:p>
            <w:pPr>
              <w:pStyle w:val="null3"/>
              <w:ind w:firstLine="640"/>
              <w:jc w:val="left"/>
            </w:pPr>
            <w:r>
              <w:rPr>
                <w:rFonts w:ascii="仿宋_GB2312" w:hAnsi="仿宋_GB2312" w:cs="仿宋_GB2312" w:eastAsia="仿宋_GB2312"/>
                <w:sz w:val="18"/>
              </w:rPr>
              <w:t>服务期内，乙方应确保设备运行稳定可靠，出水水质达标。若因乙方原因导致设备运行不正常或出水水质不达标，乙方应立即采取有效措施进行整改，并承担由此给甲方造成的一切损失。</w:t>
            </w:r>
          </w:p>
          <w:p>
            <w:pPr>
              <w:pStyle w:val="null3"/>
              <w:ind w:firstLine="640"/>
              <w:jc w:val="left"/>
            </w:pPr>
            <w:r>
              <w:rPr>
                <w:rFonts w:ascii="仿宋_GB2312" w:hAnsi="仿宋_GB2312" w:cs="仿宋_GB2312" w:eastAsia="仿宋_GB2312"/>
                <w:sz w:val="18"/>
              </w:rPr>
              <w:t>服务期满后，甲方将组织对乙方的设备运行服务情况进行全面验收。验收内容包括设备运行状况、处理效果、水质达标情况、设备维护保养情况、人员管理情况、安全管理情况等。验收合格后，双方办理交接手续；验收不合格的，乙方应按照甲方要求进行整改，直至验收合格为止。</w:t>
            </w:r>
          </w:p>
          <w:p>
            <w:pPr>
              <w:pStyle w:val="null3"/>
              <w:ind w:firstLine="640"/>
              <w:jc w:val="left"/>
            </w:pPr>
            <w:r>
              <w:rPr>
                <w:rFonts w:ascii="仿宋_GB2312" w:hAnsi="仿宋_GB2312" w:cs="仿宋_GB2312" w:eastAsia="仿宋_GB2312"/>
                <w:sz w:val="18"/>
              </w:rPr>
              <w:t>七</w:t>
            </w:r>
            <w:r>
              <w:rPr>
                <w:rFonts w:ascii="仿宋_GB2312" w:hAnsi="仿宋_GB2312" w:cs="仿宋_GB2312" w:eastAsia="仿宋_GB2312"/>
                <w:sz w:val="18"/>
              </w:rPr>
              <w:t>、其他要求</w:t>
            </w:r>
          </w:p>
          <w:p>
            <w:pPr>
              <w:pStyle w:val="null3"/>
              <w:ind w:firstLine="640"/>
              <w:jc w:val="left"/>
            </w:pPr>
            <w:r>
              <w:rPr>
                <w:rFonts w:ascii="仿宋_GB2312" w:hAnsi="仿宋_GB2312" w:cs="仿宋_GB2312" w:eastAsia="仿宋_GB2312"/>
                <w:sz w:val="18"/>
              </w:rPr>
              <w:t>乙方应建立健全设备运行服务管理制度，包括人员管理制度、设备操作规程、维护保养制度、质量管理制度、安全管理制度、环保管理制度等，确保设备运行服务的规范化、制度化和科学化。各项管理制度应报甲方备案，并严格执行。</w:t>
            </w:r>
          </w:p>
          <w:p>
            <w:pPr>
              <w:pStyle w:val="null3"/>
              <w:ind w:firstLine="640"/>
              <w:jc w:val="left"/>
            </w:pPr>
            <w:r>
              <w:rPr>
                <w:rFonts w:ascii="仿宋_GB2312" w:hAnsi="仿宋_GB2312" w:cs="仿宋_GB2312" w:eastAsia="仿宋_GB2312"/>
                <w:sz w:val="18"/>
              </w:rPr>
              <w:t>乙方应加强与甲方的沟通与协调，定期向甲方汇报设备运行服务情况，及时解决设备运行过程中出现的问题。对于甲方提出的合理建议和要求，乙方应积极采纳并认真落实。</w:t>
            </w:r>
          </w:p>
          <w:p>
            <w:pPr>
              <w:pStyle w:val="null3"/>
              <w:ind w:firstLine="640"/>
              <w:jc w:val="left"/>
            </w:pPr>
            <w:r>
              <w:rPr>
                <w:rFonts w:ascii="仿宋_GB2312" w:hAnsi="仿宋_GB2312" w:cs="仿宋_GB2312" w:eastAsia="仿宋_GB2312"/>
                <w:sz w:val="18"/>
              </w:rPr>
              <w:t>乙方应加强对运行服务人员的管理，确保人员遵守甲方的规章制度和现场管理要求，爱护甲方的设备和设施，不得损坏或盗窃甲方的财物。若乙方人员违反甲方规章制度或造成甲方财物损失的，乙方应承担相应的赔偿责任。</w:t>
            </w:r>
          </w:p>
          <w:p>
            <w:pPr>
              <w:pStyle w:val="null3"/>
              <w:ind w:firstLine="640"/>
              <w:jc w:val="left"/>
            </w:pPr>
            <w:r>
              <w:rPr>
                <w:rFonts w:ascii="仿宋_GB2312" w:hAnsi="仿宋_GB2312" w:cs="仿宋_GB2312" w:eastAsia="仿宋_GB2312"/>
                <w:sz w:val="18"/>
              </w:rPr>
              <w:t>乙方应承担设备运行服务过程中产生的所有费用，包括但不限于人员工资、设备维护保养费用、药剂费用、材料费用、水质监测费用、污泥处置费用、安全环保费用等。甲方除按照合同约定支付服务费用外，不再承担任何其他费用。</w:t>
            </w:r>
          </w:p>
          <w:p>
            <w:pPr>
              <w:pStyle w:val="null3"/>
              <w:ind w:firstLine="640"/>
              <w:jc w:val="left"/>
            </w:pPr>
            <w:r>
              <w:rPr>
                <w:rFonts w:ascii="仿宋_GB2312" w:hAnsi="仿宋_GB2312" w:cs="仿宋_GB2312" w:eastAsia="仿宋_GB2312"/>
                <w:sz w:val="18"/>
              </w:rPr>
              <w:t>乙方应为设备运行服务人员购买人身意外伤害保险，若因乙方未购买保险或保险金额不足导致的人员伤亡事故，由乙方承担全部责任，并赔偿由此给甲方造成的一切损失。</w:t>
            </w:r>
          </w:p>
          <w:p>
            <w:pPr>
              <w:pStyle w:val="null3"/>
              <w:ind w:firstLine="640"/>
              <w:jc w:val="left"/>
            </w:pPr>
            <w:r>
              <w:rPr>
                <w:rFonts w:ascii="仿宋_GB2312" w:hAnsi="仿宋_GB2312" w:cs="仿宋_GB2312" w:eastAsia="仿宋_GB2312"/>
                <w:sz w:val="18"/>
              </w:rPr>
              <w:t>乙方应保证设备运行服务的连续性和稳定性，不得因人员调整、设备故障、材料供应不足等原因中断设备运行服务。若因乙方原因导致设备运行服务中断超过24</w:t>
            </w:r>
            <w:r>
              <w:rPr>
                <w:rFonts w:ascii="仿宋_GB2312" w:hAnsi="仿宋_GB2312" w:cs="仿宋_GB2312" w:eastAsia="仿宋_GB2312"/>
                <w:sz w:val="18"/>
              </w:rPr>
              <w:t>小时，甲方有权要求乙方支付违约金，并承担由此给甲方造成的一切损失。</w:t>
            </w:r>
          </w:p>
          <w:p>
            <w:pPr>
              <w:pStyle w:val="null3"/>
              <w:ind w:firstLine="640"/>
              <w:jc w:val="left"/>
            </w:pPr>
            <w:r>
              <w:rPr>
                <w:rFonts w:ascii="仿宋_GB2312" w:hAnsi="仿宋_GB2312" w:cs="仿宋_GB2312" w:eastAsia="仿宋_GB2312"/>
                <w:sz w:val="18"/>
              </w:rPr>
              <w:t>乙方应尊重甲方的知识产权和商业秘密，对在设备运行服务过程中接触到的甲方的技术资料、工艺流程、设备参数、水质数据等信息严格保密，未经甲方书面同意，不得向第三方披露或用于其他商业用途。若乙方违反保密义务，给甲方造成损失的，应承担相应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2025年第三季度结束，经验收合格，甲方收到增值税普通发票后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其他证明材料.docx 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供应商针对本项目编制完善的服务方案，内容包含:①计划安排；②配件保障；③工作流程；④实施步骤；⑤工作制度。 二、评审标准 1、完整性:方案必须全面，对评审内容中的各项要求有详细描述: 2、可实施性:切合本项目实际情况，提出步骤清晰、合理的方案; 3、针对性:方案能够紧扣项目实际情况，内容科学合理。 三、赋分标准(满分30分) ①计划安排:每完全满足一个评审标准得2分，满分6分; ②配件保障:每完全满足一个评审标准得2分，满分6分; ③工作流程:每完全满足一个评审标准得2分，满分6分。 ④实施步骤:每完全满足一个评审标准得2分，满分6分。 ⑤工作制度:每完全满足一个评审标准得2分，满分6分。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供应商针对本项目编制完善的服务质量保障措施，内容包含:①质量控制措施；②服务进度保证措施；③确保质量的技术组织措施。 二、评审标准 1、完整性:方案必须全面，对评审内容中的各项要求有详细描述: 2、可实施性:切合本项目实际情况，提出步骤清晰、合理的方案; 3、针对性:方案能够紧扣项目实际情况，内容科学合理。 三、赋分标准(满分18分) ①质量控制措施:每完全满足一个评审标准得2分，满分6分; ②服务进度保证措施:每完全满足一个评审标准得2分，满分6分; ③确保质量的技术组织措施：:每完全满足一个评审标准得2分，满分6分。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供应商针对本项目编制完善的服务承诺，内容包含:①承诺完全配合采购人的工作，确保人员的社保及相关费用准时准确按期缴纳；②保证所用配件是符合国家质量标准； 二、评审标准 1、完整性:方案必须全面，对评审内容中的各项要求有详细描述: 2、可实施性:切合本项目实际情况，提出步骤清晰、合理的方案; 3、针对性:方案能够紧扣项目实际情况，内容科学合理。 三、赋分标准(满分6分) ①承诺完全配合采购人的工作，确保人员的社保及相关费用准时准确按期缴纳:每完全满足一个评审标准得1分，满分3分; ②保证所用配件是符合国家质量标准:每完全满足一个评审标准得1分，满分3分。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