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版本号：0701-2541SX05000120250430001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车辆上装液压系统及转运箱体维修项目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0701-2541SX050001</w:t>
      </w:r>
      <w:r>
        <w:br/>
      </w:r>
      <w:r>
        <w:br/>
      </w:r>
      <w:r>
        <w:br/>
      </w:r>
    </w:p>
    <w:p>
      <w:pPr>
        <w:pStyle w:val="null3"/>
        <w:jc w:val="center"/>
        <w:outlineLvl w:val="2"/>
      </w:pPr>
      <w:r>
        <w:rPr>
          <w:rFonts w:ascii="仿宋_GB2312" w:hAnsi="仿宋_GB2312" w:cs="仿宋_GB2312" w:eastAsia="仿宋_GB2312"/>
          <w:sz w:val="28"/>
          <w:b/>
        </w:rPr>
        <w:t>西安市三民村垃圾处理中转站</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西安市三民村垃圾处理中转站</w:t>
      </w:r>
      <w:r>
        <w:rPr>
          <w:rFonts w:ascii="仿宋_GB2312" w:hAnsi="仿宋_GB2312" w:cs="仿宋_GB2312" w:eastAsia="仿宋_GB2312"/>
        </w:rPr>
        <w:t>委托，拟对</w:t>
      </w:r>
      <w:r>
        <w:rPr>
          <w:rFonts w:ascii="仿宋_GB2312" w:hAnsi="仿宋_GB2312" w:cs="仿宋_GB2312" w:eastAsia="仿宋_GB2312"/>
        </w:rPr>
        <w:t>车辆上装液压系统及转运箱体维修项目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0701-2541SX050001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车辆上装液压系统及转运箱体维修项目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转站有重庆耐德新明和生产的垃圾转运车辆27台，垃圾转运箱45个，因车辆上装液压及转运箱体在使用过程中时常有故障发生，如液压系统漏油，操作系统无响应，箱体密封腐蚀、渗漏等，为了更好完成垃圾中转运输任务，协调好每一台车辆设备的维修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采购包1（车辆上装液压系统及转运箱体维修项目）：属于专门面向中小企业采购。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西安市三民村垃圾处理中转站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西安市莲湖区大兴西路45号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18291413012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代理服务费收费标准：参照国家计委颁发的《招标代理服务收费管理暂行办法》(计价格[2002]1980号)规定的招标代理服务收费标准下浮22%计算收取。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西安市三民村垃圾处理中转站</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西安市三民村垃圾处理中转站</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西安市三民村垃圾处理中转站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转站有重庆耐德新明和生产的垃圾转运车辆27台，垃圾转运箱45个，因车辆上装液压及转运箱体在使用过程中时常有故障发生，如液压系统漏油，操作系统无响应，箱体密封腐蚀、渗漏等，为了更好完成垃圾中转运输任务，协调好每一台车辆设备的维修质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垃圾车上装、垃圾转运箱等维修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标的名称：垃圾车上装、垃圾转运箱等维修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一、项目概况</w:t>
            </w:r>
          </w:p>
          <w:p>
            <w:pPr>
              <w:pStyle w:val="null3"/>
              <w:ind w:right="-315" w:firstLine="720"/>
              <w:jc w:val="both"/>
            </w:pPr>
            <w:r>
              <w:rPr>
                <w:rFonts w:ascii="仿宋_GB2312" w:hAnsi="仿宋_GB2312" w:cs="仿宋_GB2312" w:eastAsia="仿宋_GB2312"/>
                <w:sz w:val="15"/>
              </w:rPr>
              <w:t>中转站有重庆耐德新明和生产的垃圾转运车辆27台，垃圾转运箱45个，因车辆上装液压及转运箱体在使用过程中时常有故障发生，如液压系统漏油，操作系统无响应，箱体密封腐蚀、渗漏等，为了更好完成垃圾中转运输任务，协调好每一台车辆设备的维修质量。</w:t>
            </w:r>
          </w:p>
          <w:p>
            <w:pPr>
              <w:pStyle w:val="null3"/>
              <w:ind w:right="-315" w:firstLine="720"/>
              <w:jc w:val="both"/>
            </w:pPr>
            <w:r>
              <w:rPr>
                <w:rFonts w:ascii="仿宋_GB2312" w:hAnsi="仿宋_GB2312" w:cs="仿宋_GB2312" w:eastAsia="仿宋_GB2312"/>
                <w:sz w:val="15"/>
              </w:rPr>
              <w:t>承修单位对车辆液压系统，上装系统，箱体密封等在维修、质量上作出以下要求</w:t>
            </w:r>
            <w:r>
              <w:rPr>
                <w:rFonts w:ascii="仿宋_GB2312" w:hAnsi="仿宋_GB2312" w:cs="仿宋_GB2312" w:eastAsia="仿宋_GB2312"/>
                <w:sz w:val="15"/>
                <w:color w:val="E67E22"/>
              </w:rPr>
              <w:t>：</w:t>
            </w:r>
          </w:p>
          <w:p>
            <w:pPr>
              <w:pStyle w:val="null3"/>
              <w:jc w:val="both"/>
            </w:pPr>
            <w:r>
              <w:rPr>
                <w:rFonts w:ascii="仿宋_GB2312" w:hAnsi="仿宋_GB2312" w:cs="仿宋_GB2312" w:eastAsia="仿宋_GB2312"/>
                <w:sz w:val="15"/>
              </w:rPr>
              <w:t>需采购物资一批，下表中型号均为现有设备原厂型号，供应商作为技术参考，具体合同签订型号以供应商提供的磋商响应文件的分享报价表中载明的型号为准。</w:t>
            </w:r>
          </w:p>
          <w:tbl>
            <w:tblPr>
              <w:tblInd w:type="dxa" w:w="135"/>
              <w:tblBorders>
                <w:top w:val="none" w:color="000000" w:sz="4"/>
                <w:left w:val="none" w:color="000000" w:sz="4"/>
                <w:bottom w:val="none" w:color="000000" w:sz="4"/>
                <w:right w:val="none" w:color="000000" w:sz="4"/>
                <w:insideH w:val="none"/>
                <w:insideV w:val="none"/>
              </w:tblBorders>
            </w:tblPr>
            <w:tblGrid>
              <w:gridCol w:w="512"/>
              <w:gridCol w:w="2041"/>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2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项目</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更换液压油</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更换液压滤芯</w:t>
                  </w:r>
                  <w:r>
                    <w:rPr>
                      <w:rFonts w:ascii="仿宋_GB2312" w:hAnsi="仿宋_GB2312" w:cs="仿宋_GB2312" w:eastAsia="仿宋_GB2312"/>
                      <w:sz w:val="15"/>
                      <w:color w:val="000000"/>
                    </w:rPr>
                    <w:t>(内外)</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液压系统打黄油</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清洗液压吊臂及连接部分和油箱、管路等</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序号</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项目</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1</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液压油</w:t>
                  </w:r>
                  <w:r>
                    <w:rPr>
                      <w:rFonts w:ascii="仿宋_GB2312" w:hAnsi="仿宋_GB2312" w:cs="仿宋_GB2312" w:eastAsia="仿宋_GB2312"/>
                      <w:sz w:val="15"/>
                      <w:color w:val="000000"/>
                    </w:rPr>
                    <w:t>(46号抗磨液压油)</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2</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液压滤芯</w:t>
                  </w:r>
                  <w:r>
                    <w:rPr>
                      <w:rFonts w:ascii="仿宋_GB2312" w:hAnsi="仿宋_GB2312" w:cs="仿宋_GB2312" w:eastAsia="仿宋_GB2312"/>
                      <w:sz w:val="15"/>
                    </w:rPr>
                    <w:t>(内)</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3</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液压滤芯</w:t>
                  </w:r>
                  <w:r>
                    <w:rPr>
                      <w:rFonts w:ascii="仿宋_GB2312" w:hAnsi="仿宋_GB2312" w:cs="仿宋_GB2312" w:eastAsia="仿宋_GB2312"/>
                      <w:sz w:val="15"/>
                    </w:rPr>
                    <w:t>(外)</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4</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清洗油</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color w:val="000000"/>
                    </w:rPr>
                    <w:t>5</w:t>
                  </w:r>
                </w:p>
              </w:tc>
              <w:tc>
                <w:tcPr>
                  <w:tcW w:type="dxa" w:w="2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润滑脂</w:t>
                  </w:r>
                </w:p>
              </w:tc>
            </w:tr>
          </w:tbl>
          <w:p>
            <w:pPr>
              <w:pStyle w:val="null3"/>
              <w:jc w:val="center"/>
            </w:pPr>
            <w:r>
              <w:rPr>
                <w:rFonts w:ascii="仿宋_GB2312" w:hAnsi="仿宋_GB2312" w:cs="仿宋_GB2312" w:eastAsia="仿宋_GB2312"/>
                <w:sz w:val="15"/>
              </w:rPr>
              <w:t>液压系统保养明细</w:t>
            </w:r>
          </w:p>
          <w:p>
            <w:pPr>
              <w:pStyle w:val="null3"/>
              <w:jc w:val="center"/>
            </w:pPr>
            <w:r>
              <w:rPr>
                <w:rFonts w:ascii="仿宋_GB2312" w:hAnsi="仿宋_GB2312" w:cs="仿宋_GB2312" w:eastAsia="仿宋_GB2312"/>
                <w:sz w:val="15"/>
              </w:rPr>
              <w:t>垃圾转运箱保养明细</w:t>
            </w:r>
          </w:p>
          <w:tbl>
            <w:tblPr>
              <w:tblBorders>
                <w:top w:val="none" w:color="000000" w:sz="4"/>
                <w:left w:val="none" w:color="000000" w:sz="4"/>
                <w:bottom w:val="none" w:color="000000" w:sz="4"/>
                <w:right w:val="none" w:color="000000" w:sz="4"/>
                <w:insideH w:val="none"/>
                <w:insideV w:val="none"/>
              </w:tblBorders>
            </w:tblPr>
            <w:tblGrid>
              <w:gridCol w:w="521"/>
              <w:gridCol w:w="2031"/>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项目</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清洗除锈转运箱后门销轴</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后门及遮掩门密封条清理</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箱体打黄油</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项目</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润滑油</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清洗油</w:t>
                  </w:r>
                </w:p>
              </w:tc>
            </w:tr>
          </w:tbl>
          <w:p>
            <w:pPr>
              <w:pStyle w:val="null3"/>
              <w:jc w:val="center"/>
            </w:pPr>
            <w:r>
              <w:rPr>
                <w:rFonts w:ascii="仿宋_GB2312" w:hAnsi="仿宋_GB2312" w:cs="仿宋_GB2312" w:eastAsia="仿宋_GB2312"/>
                <w:sz w:val="15"/>
              </w:rPr>
              <w:t>更换后门及遮掩门密封条明细</w:t>
            </w:r>
          </w:p>
          <w:tbl>
            <w:tblPr>
              <w:tblBorders>
                <w:top w:val="none" w:color="000000" w:sz="4"/>
                <w:left w:val="none" w:color="000000" w:sz="4"/>
                <w:bottom w:val="none" w:color="000000" w:sz="4"/>
                <w:right w:val="none" w:color="000000" w:sz="4"/>
                <w:insideH w:val="none"/>
                <w:insideV w:val="none"/>
              </w:tblBorders>
            </w:tblPr>
            <w:tblGrid>
              <w:gridCol w:w="528"/>
              <w:gridCol w:w="2024"/>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0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项目</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清理后门及遮掩门密封条槽更换密封胶条</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箱体</w:t>
                  </w:r>
                  <w:r>
                    <w:rPr>
                      <w:rFonts w:ascii="仿宋_GB2312" w:hAnsi="仿宋_GB2312" w:cs="仿宋_GB2312" w:eastAsia="仿宋_GB2312"/>
                      <w:sz w:val="15"/>
                    </w:rPr>
                    <w:t>_实体37硅胶条LGD2006-0000008-0C3</w:t>
                  </w:r>
                  <w:r>
                    <w:rPr>
                      <w:rFonts w:ascii="仿宋_GB2312" w:hAnsi="仿宋_GB2312" w:cs="仿宋_GB2312" w:eastAsia="仿宋_GB2312"/>
                      <w:sz w:val="15"/>
                    </w:rPr>
                    <w:t>（</w:t>
                  </w:r>
                  <w:r>
                    <w:rPr>
                      <w:rFonts w:ascii="仿宋_GB2312" w:hAnsi="仿宋_GB2312" w:cs="仿宋_GB2312" w:eastAsia="仿宋_GB2312"/>
                      <w:sz w:val="15"/>
                    </w:rPr>
                    <w:t>米）</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门胶条</w:t>
                  </w:r>
                  <w:r>
                    <w:rPr>
                      <w:rFonts w:ascii="仿宋_GB2312" w:hAnsi="仿宋_GB2312" w:cs="仿宋_GB2312" w:eastAsia="仿宋_GB2312"/>
                      <w:sz w:val="15"/>
                    </w:rPr>
                    <w:t>LGD2006-0000008-1A</w:t>
                  </w:r>
                  <w:r>
                    <w:rPr>
                      <w:rFonts w:ascii="仿宋_GB2312" w:hAnsi="仿宋_GB2312" w:cs="仿宋_GB2312" w:eastAsia="仿宋_GB2312"/>
                      <w:sz w:val="15"/>
                    </w:rPr>
                    <w:t>（</w:t>
                  </w:r>
                  <w:r>
                    <w:rPr>
                      <w:rFonts w:ascii="仿宋_GB2312" w:hAnsi="仿宋_GB2312" w:cs="仿宋_GB2312" w:eastAsia="仿宋_GB2312"/>
                      <w:sz w:val="15"/>
                    </w:rPr>
                    <w:t>米）</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2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密封胶</w:t>
                  </w:r>
                  <w:r>
                    <w:rPr>
                      <w:rFonts w:ascii="仿宋_GB2312" w:hAnsi="仿宋_GB2312" w:cs="仿宋_GB2312" w:eastAsia="仿宋_GB2312"/>
                      <w:sz w:val="15"/>
                    </w:rPr>
                    <w:t>（</w:t>
                  </w:r>
                  <w:r>
                    <w:rPr>
                      <w:rFonts w:ascii="仿宋_GB2312" w:hAnsi="仿宋_GB2312" w:cs="仿宋_GB2312" w:eastAsia="仿宋_GB2312"/>
                      <w:sz w:val="15"/>
                    </w:rPr>
                    <w:t>支）</w:t>
                  </w:r>
                </w:p>
              </w:tc>
            </w:tr>
          </w:tbl>
          <w:p>
            <w:pPr>
              <w:pStyle w:val="null3"/>
              <w:jc w:val="center"/>
            </w:pPr>
            <w:r>
              <w:rPr>
                <w:rFonts w:ascii="仿宋_GB2312" w:hAnsi="仿宋_GB2312" w:cs="仿宋_GB2312" w:eastAsia="仿宋_GB2312"/>
                <w:sz w:val="15"/>
              </w:rPr>
              <w:t>25 吨拉臂钩车配件</w:t>
            </w:r>
          </w:p>
          <w:tbl>
            <w:tblPr>
              <w:tblBorders>
                <w:top w:val="none" w:color="000000" w:sz="4"/>
                <w:left w:val="none" w:color="000000" w:sz="4"/>
                <w:bottom w:val="none" w:color="000000" w:sz="4"/>
                <w:right w:val="none" w:color="000000" w:sz="4"/>
                <w:insideH w:val="none"/>
                <w:insideV w:val="none"/>
              </w:tblBorders>
            </w:tblPr>
            <w:tblGrid>
              <w:gridCol w:w="271"/>
              <w:gridCol w:w="634"/>
              <w:gridCol w:w="1647"/>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名称</w:t>
                  </w:r>
                </w:p>
              </w:tc>
              <w:tc>
                <w:tcPr>
                  <w:tcW w:type="dxa" w:w="1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现有设备型号</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销轴</w:t>
                  </w:r>
                  <w:r>
                    <w:rPr>
                      <w:rFonts w:ascii="仿宋_GB2312" w:hAnsi="仿宋_GB2312" w:cs="仿宋_GB2312" w:eastAsia="仿宋_GB2312"/>
                      <w:sz w:val="15"/>
                    </w:rPr>
                    <w:t>1</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LGD2005-8020000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圆螺母</w:t>
                  </w:r>
                  <w:r>
                    <w:rPr>
                      <w:rFonts w:ascii="仿宋_GB2312" w:hAnsi="仿宋_GB2312" w:cs="仿宋_GB2312" w:eastAsia="仿宋_GB2312"/>
                      <w:sz w:val="15"/>
                    </w:rPr>
                    <w:t>M14X</w:t>
                  </w:r>
                  <w:r>
                    <w:rPr>
                      <w:rFonts w:ascii="仿宋_GB2312" w:hAnsi="仿宋_GB2312" w:cs="仿宋_GB2312" w:eastAsia="仿宋_GB2312"/>
                      <w:sz w:val="15"/>
                    </w:rPr>
                    <w:t>1.5</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GB812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六角薄螺母</w:t>
                  </w:r>
                  <w:r>
                    <w:rPr>
                      <w:rFonts w:ascii="仿宋_GB2312" w:hAnsi="仿宋_GB2312" w:cs="仿宋_GB2312" w:eastAsia="仿宋_GB2312"/>
                      <w:sz w:val="15"/>
                    </w:rPr>
                    <w:t>M20</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GB/T6172.1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油管</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20411-18-06X2T06X450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油管</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20411-18-06/20491-18-06X2T06 X</w:t>
                  </w:r>
                  <w:r>
                    <w:rPr>
                      <w:rFonts w:ascii="仿宋_GB2312" w:hAnsi="仿宋_GB2312" w:cs="仿宋_GB2312" w:eastAsia="仿宋_GB2312"/>
                      <w:sz w:val="15"/>
                    </w:rPr>
                    <w:t>500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硬管</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LGX2600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滚轮销轴</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LGX2600-1162000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液压锁</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VPR/SE/C38</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快装接头</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1寸 公母</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避钩门板</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LGX2601-7100002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自制把手</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LGD2006-CA00000-1A</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登山扣</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LGD2005-C600002-1A</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管卡</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TLPG2-112</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支撑油缸</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CCA25-4030000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油管</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20411-18-06X2SN06X2000+PVC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快换接头</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公母</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避钩门总成</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门板</w:t>
                  </w:r>
                  <w:r>
                    <w:rPr>
                      <w:rFonts w:ascii="仿宋_GB2312" w:hAnsi="仿宋_GB2312" w:cs="仿宋_GB2312" w:eastAsia="仿宋_GB2312"/>
                      <w:sz w:val="15"/>
                    </w:rPr>
                    <w:t>+把手+小门绞轴</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电控箱总成</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自制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手控盒</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自制</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接近开关</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P+F</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扩展模块</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TM3DM8R</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逻辑控制器</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TM221C24T</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柱塞泵</w:t>
                  </w:r>
                  <w:r>
                    <w:rPr>
                      <w:rFonts w:ascii="仿宋_GB2312" w:hAnsi="仿宋_GB2312" w:cs="仿宋_GB2312" w:eastAsia="仿宋_GB2312"/>
                      <w:sz w:val="15"/>
                    </w:rPr>
                    <w:t>(右旋</w:t>
                  </w:r>
                  <w:r>
                    <w:rPr>
                      <w:rFonts w:ascii="仿宋_GB2312" w:hAnsi="仿宋_GB2312" w:cs="仿宋_GB2312" w:eastAsia="仿宋_GB2312"/>
                      <w:sz w:val="15"/>
                    </w:rPr>
                    <w:t>）</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SC084R</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12</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20411-18-06X2SN06X2000+PVC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08</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20441-18-06/20411-18-06X2SN06X3900+PVC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26</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09</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20441-18-06/20491-18-06X2SN06X3300V270+P1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27</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07</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20441-22-06T/20411-22-06TX2SN06X5700+PVC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28</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10</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20491-18-06/20411-16-06X2SN06X35</w:t>
                  </w:r>
                  <w:r>
                    <w:rPr>
                      <w:rFonts w:ascii="仿宋_GB2312" w:hAnsi="仿宋_GB2312" w:cs="仿宋_GB2312" w:eastAsia="仿宋_GB2312"/>
                      <w:sz w:val="15"/>
                    </w:rPr>
                    <w:t>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29</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11</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20491-18-06/20411-18-06X2SN06X1100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06</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20491-22-06T/20411-18-06X2SN06X900+PVC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05</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20491-22-06T/20411-22-06TX2SN06X900+PVC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01</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20512-30-12X4SP12X26</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02</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20512-30-12X4SP12X2730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34</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13</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20592-30-12X4SP12X780V0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15</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20491-22-06T/20411-18-06X2SN06X800+PVC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36</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14</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20491-22-06T/20411-22-06TX2SN06X700+PVC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37</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01</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20491-30-12/20411-30-12X1T12X600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38</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02</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20592-30-12/20512-36-12TX4SP12X230</w:t>
                  </w:r>
                  <w:r>
                    <w:rPr>
                      <w:rFonts w:ascii="仿宋_GB2312" w:hAnsi="仿宋_GB2312" w:cs="仿宋_GB2312" w:eastAsia="仿宋_GB2312"/>
                      <w:sz w:val="15"/>
                    </w:rPr>
                    <w:t>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39</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胶管总成</w:t>
                  </w:r>
                  <w:r>
                    <w:rPr>
                      <w:rFonts w:ascii="仿宋_GB2312" w:hAnsi="仿宋_GB2312" w:cs="仿宋_GB2312" w:eastAsia="仿宋_GB2312"/>
                      <w:sz w:val="15"/>
                    </w:rPr>
                    <w:t>03</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20491-12-04/20411-16-04X1T04X750+PVC</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吸油管</w:t>
                  </w:r>
                  <w:r>
                    <w:rPr>
                      <w:rFonts w:ascii="仿宋_GB2312" w:hAnsi="仿宋_GB2312" w:cs="仿宋_GB2312" w:eastAsia="仿宋_GB2312"/>
                      <w:sz w:val="15"/>
                    </w:rPr>
                    <w:t>Φ</w:t>
                  </w:r>
                </w:p>
                <w:p>
                  <w:pPr>
                    <w:pStyle w:val="null3"/>
                    <w:jc w:val="center"/>
                  </w:pPr>
                  <w:r>
                    <w:rPr>
                      <w:rFonts w:ascii="仿宋_GB2312" w:hAnsi="仿宋_GB2312" w:cs="仿宋_GB2312" w:eastAsia="仿宋_GB2312"/>
                      <w:sz w:val="15"/>
                    </w:rPr>
                    <w:t>51X64</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32C4X1800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五联多路阀</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622005960-01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锁紧油缸</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CCA010-23Y-4260000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举升油缸</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CCA25-4010000-1A</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44</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平移油缸</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CCA25-4020000-1A</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45</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桥支撑油缸</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CCA25-4030000</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46</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后门挂钩</w:t>
                  </w:r>
                </w:p>
              </w:tc>
              <w:tc>
                <w:tcPr>
                  <w:tcW w:type="dxa" w:w="1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5"/>
                <w:color w:val="E67E22"/>
              </w:rPr>
              <w:t>二、</w:t>
            </w:r>
            <w:r>
              <w:rPr>
                <w:rFonts w:ascii="仿宋_GB2312" w:hAnsi="仿宋_GB2312" w:cs="仿宋_GB2312" w:eastAsia="仿宋_GB2312"/>
                <w:sz w:val="15"/>
              </w:rPr>
              <w:t>服务要求：</w:t>
            </w:r>
          </w:p>
          <w:p>
            <w:pPr>
              <w:pStyle w:val="null3"/>
              <w:numPr>
                <w:ilvl w:val="0"/>
                <w:numId w:val="1"/>
              </w:numPr>
              <w:ind w:right="-315"/>
              <w:jc w:val="both"/>
            </w:pPr>
            <w:r>
              <w:rPr>
                <w:rFonts w:ascii="仿宋_GB2312" w:hAnsi="仿宋_GB2312" w:cs="仿宋_GB2312" w:eastAsia="仿宋_GB2312"/>
                <w:sz w:val="15"/>
              </w:rPr>
              <w:t>必须在确保安全第一、熟悉车辆性能的情况下维修，维修过程需拍照留档，所更换的配件需拍新、旧对比照片存档并上报。</w:t>
            </w:r>
          </w:p>
          <w:p>
            <w:pPr>
              <w:pStyle w:val="null3"/>
              <w:numPr>
                <w:ilvl w:val="0"/>
                <w:numId w:val="1"/>
              </w:numPr>
              <w:ind w:right="-315"/>
              <w:jc w:val="both"/>
            </w:pPr>
            <w:r>
              <w:rPr>
                <w:rFonts w:ascii="仿宋_GB2312" w:hAnsi="仿宋_GB2312" w:cs="仿宋_GB2312" w:eastAsia="仿宋_GB2312"/>
                <w:sz w:val="15"/>
              </w:rPr>
              <w:t>车辆上装液压系统及转运箱体，一般故障必须随叫随到排除故障，工时不超过一个工作日，疑难特殊故障需本站领导和维修厂协调解决，维修时间不超过三个工作日</w:t>
            </w:r>
          </w:p>
          <w:p>
            <w:pPr>
              <w:pStyle w:val="null3"/>
              <w:numPr>
                <w:ilvl w:val="0"/>
                <w:numId w:val="1"/>
              </w:numPr>
              <w:ind w:right="-315"/>
              <w:jc w:val="both"/>
            </w:pPr>
            <w:r>
              <w:rPr>
                <w:rFonts w:ascii="仿宋_GB2312" w:hAnsi="仿宋_GB2312" w:cs="仿宋_GB2312" w:eastAsia="仿宋_GB2312"/>
                <w:sz w:val="15"/>
              </w:rPr>
              <w:t>维修车辆所使用的零配件要使用正厂配件，车辆上装液压及转运箱体配件由重庆耐德新明和工业有限公司直接发货，确因特殊情况需使用专厂品牌件，应事先告知送修单位并做好记录，在取得同意并保证车辆能正常安全行驶的情况下，方可使用，但车辆上装液压及转运箱体的关键部位如:液压泵、油缸、阀体、控制器、液压系统等关键部位禁止使用副厂零配件。</w:t>
            </w:r>
          </w:p>
          <w:p>
            <w:pPr>
              <w:pStyle w:val="null3"/>
              <w:numPr>
                <w:ilvl w:val="0"/>
                <w:numId w:val="1"/>
              </w:numPr>
              <w:ind w:right="-315"/>
              <w:jc w:val="both"/>
            </w:pPr>
            <w:r>
              <w:rPr>
                <w:rFonts w:ascii="仿宋_GB2312" w:hAnsi="仿宋_GB2312" w:cs="仿宋_GB2312" w:eastAsia="仿宋_GB2312"/>
                <w:sz w:val="15"/>
              </w:rPr>
              <w:t>维修上装液压系统过程中需做好其他部件防护措施例如：</w:t>
            </w:r>
          </w:p>
          <w:p>
            <w:pPr>
              <w:pStyle w:val="null3"/>
              <w:ind w:left="-195" w:right="-315" w:firstLine="720"/>
              <w:jc w:val="both"/>
            </w:pPr>
            <w:r>
              <w:rPr>
                <w:rFonts w:ascii="仿宋_GB2312" w:hAnsi="仿宋_GB2312" w:cs="仿宋_GB2312" w:eastAsia="仿宋_GB2312"/>
                <w:sz w:val="15"/>
              </w:rPr>
              <w:t>①多路阀漏油更换密封，需将液压柱塞用棉布包裹好，避免碰伤。</w:t>
            </w:r>
          </w:p>
          <w:p>
            <w:pPr>
              <w:pStyle w:val="null3"/>
              <w:ind w:left="-195" w:right="-315" w:firstLine="720"/>
              <w:jc w:val="both"/>
            </w:pPr>
            <w:r>
              <w:rPr>
                <w:rFonts w:ascii="仿宋_GB2312" w:hAnsi="仿宋_GB2312" w:cs="仿宋_GB2312" w:eastAsia="仿宋_GB2312"/>
                <w:sz w:val="15"/>
              </w:rPr>
              <w:t>②液压油缸漏油更换密封，需将油缸芯放在软垫子上火木板上，避免碰伤。</w:t>
            </w:r>
          </w:p>
          <w:p>
            <w:pPr>
              <w:pStyle w:val="null3"/>
              <w:numPr>
                <w:ilvl w:val="0"/>
                <w:numId w:val="1"/>
              </w:numPr>
              <w:ind w:right="-315"/>
              <w:jc w:val="both"/>
            </w:pPr>
            <w:r>
              <w:rPr>
                <w:rFonts w:ascii="仿宋_GB2312" w:hAnsi="仿宋_GB2312" w:cs="仿宋_GB2312" w:eastAsia="仿宋_GB2312"/>
                <w:sz w:val="15"/>
              </w:rPr>
              <w:t>在上装操作过程中做好每根线束的包裹固定，以免在使用过程中磨损、搭铁造成其他故障。</w:t>
            </w:r>
          </w:p>
          <w:p>
            <w:pPr>
              <w:pStyle w:val="null3"/>
              <w:numPr>
                <w:ilvl w:val="0"/>
                <w:numId w:val="1"/>
              </w:numPr>
              <w:ind w:right="-315"/>
              <w:jc w:val="both"/>
            </w:pPr>
            <w:r>
              <w:rPr>
                <w:rFonts w:ascii="仿宋_GB2312" w:hAnsi="仿宋_GB2312" w:cs="仿宋_GB2312" w:eastAsia="仿宋_GB2312"/>
                <w:sz w:val="15"/>
              </w:rPr>
              <w:t>车辆在行驶途中出现故障，需要外出救援时第一时间救援。</w:t>
            </w:r>
          </w:p>
          <w:p>
            <w:pPr>
              <w:pStyle w:val="null3"/>
              <w:numPr>
                <w:ilvl w:val="0"/>
                <w:numId w:val="1"/>
              </w:numPr>
              <w:ind w:right="-315"/>
              <w:jc w:val="both"/>
            </w:pPr>
            <w:r>
              <w:rPr>
                <w:rFonts w:ascii="仿宋_GB2312" w:hAnsi="仿宋_GB2312" w:cs="仿宋_GB2312" w:eastAsia="仿宋_GB2312"/>
                <w:sz w:val="15"/>
              </w:rPr>
              <w:t>车辆液压系统、上装系统、箱体维修完成后，需及时清理在维修过程中产生的垃圾，保持车辆及地面卫生干净。</w:t>
            </w:r>
          </w:p>
          <w:p>
            <w:pPr>
              <w:pStyle w:val="null3"/>
              <w:numPr>
                <w:ilvl w:val="0"/>
                <w:numId w:val="1"/>
              </w:numPr>
              <w:ind w:right="-315"/>
              <w:jc w:val="both"/>
            </w:pPr>
            <w:r>
              <w:rPr>
                <w:rFonts w:ascii="仿宋_GB2312" w:hAnsi="仿宋_GB2312" w:cs="仿宋_GB2312" w:eastAsia="仿宋_GB2312"/>
                <w:sz w:val="15"/>
              </w:rPr>
              <w:t>应保证采购人获得优先服务的权利，并在不超过承诺的维修期限内完成维修工作。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1、首轮报价表与标的清单中的单价为分项报价表中的“单价合计”，此“单价合计”将作为报价分的计算依据。 2、本项目 采用单价合同。结算时按照维保事项及其成交单价，以实际产生的维修保养费用来据实结算。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2025年第三季度结束，经验收合格，甲方收到增值税普通发票后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2025年第四季度，于12月初进行验收，经验收合格，甲方收到增值税普通发票后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其他证明材料.docx 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供应商针对本项目编制完善的服务方案，内容包含:①计划安排；②工作流程；③实施步骤。 二、评审标准 1、完整性:方案必须全面，对评审内容中的各项要求有详细描述: 2、可实施性:切合本项目实际情况，提出步骤清晰、合理的方案; 3、针对性:方案能够紧扣项目实际情况，内容科学合理。 三、赋分标准(满分18分) ①计划安排:每完全满足一个评审标准得2分，满分6分; ②工作流程:每完全满足一个评审标准得2分，满分6分。 ③ 实施步骤:每完全满足一个评审标准得2分，满分6分。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 ，内容包含:①设备配置总体方案；②检测仪器、专业工具和吊装设备；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②检测仪器、专业工具和吊装设备:每完全满足一个评审标准得2分，满分6分。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一、评审内容 供应商针对本项目编制完善的突发事件处理方案 ，内容包含:①应急预案；②应急保证措施； 二、评审标准 1、完整性:方案必须全面，对评审内容中的各项要求有详细描述: 2、可实施性:切合本项目实际情况，提出步骤清晰、合理的方案; 3、针对性:方案能够紧扣项目实际情况，内容科学合理。 三、赋分标准(满分12分) ①应急预案:每完全满足一个评审标准得2分，满分6分; ②应急保证措施:每完全满足一个评审标准得2分，满分6分。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供应商针对本项目编制完善的服务承诺 ，内容包含:①承诺保证所用配件是符合国家质量标准的全新原厂配件；②对采购人的相关信息进行保密； 二、评审标准 1、完整性:方案必须全面，对评审内容中的各项要求有详细描述: 2、可实施性:切合本项目实际情况，提出步骤清晰、合理的方案; 3、针对性:方案能够紧扣项目实际情况，内容科学合理。 三、赋分标准(满分6分) ①承诺保证所用配件是符合国家质量标准的全新原厂配件:每完全满足一个评审标准得1分，满分3分; ②对采购人的相关信息进行保密:每完全满足一个评审标准得1分，满分3分。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维修场地</w:t>
            </w:r>
          </w:p>
        </w:tc>
        <w:tc>
          <w:tcPr>
            <w:tcW w:type="dxa" w:w="2492"/>
          </w:tcPr>
          <w:p>
            <w:pPr>
              <w:pStyle w:val="null3"/>
            </w:pPr>
            <w:r>
              <w:rPr>
                <w:rFonts w:ascii="仿宋_GB2312" w:hAnsi="仿宋_GB2312" w:cs="仿宋_GB2312" w:eastAsia="仿宋_GB2312"/>
              </w:rPr>
              <w:t>一、评审内容 供应商针对本项目项目所需的维修场地，①维修场地面积，满足大型车辆正常维修及停车；②维修场地布置科学合理。 二、评审标准： 1、完整性:场地必须全面，对评审内容中的各项要求有详细描述: 2、可实施性:场地切合科学合理; 3、针对性:符合项目实际情况。 三、赋分标准(满分6分) ①维修场地面积，满足大型车辆正常维修及停车:每完全满足一个评审标准得1分，满分3分; ②维修场地布置科学合理:每完全满足一个评审标准得1分，满分3分。 （注维修场地提供自有证明或租赁合同提供任意一种；维修场地布置提供区域环境照片及场地布置平面图等证明材料）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 号）的有关规定：价格分采用低价优先法计算，即满足磋商文件要求且磋商报价最低的磋商报价为评审基准价，其价格分为满分。其他供应商的价格分统一按照下列公式计算： 磋商报价得分=（评审基准价/磋商报价）×价格权值10%×100 注：评标委员会二分之一以上专家认为某磋商报价有低于成本价嫌疑的，且供应商无法证明其价格合理性的，为无效报价。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