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22F2F6">
      <w:pPr>
        <w:pStyle w:val="4"/>
        <w:keepNext w:val="0"/>
        <w:keepLines w:val="0"/>
        <w:shd w:val="clear" w:color="auto" w:fill="auto"/>
        <w:jc w:val="center"/>
        <w:outlineLvl w:val="1"/>
        <w:rPr>
          <w:rFonts w:hint="eastAsia" w:ascii="宋体" w:hAnsi="宋体" w:eastAsia="宋体" w:cs="宋体"/>
        </w:rPr>
      </w:pPr>
      <w:bookmarkStart w:id="0" w:name="_Toc21654"/>
      <w:bookmarkStart w:id="1" w:name="_Toc12244"/>
      <w:r>
        <w:rPr>
          <w:rFonts w:hint="eastAsia" w:ascii="宋体" w:hAnsi="宋体" w:eastAsia="宋体" w:cs="宋体"/>
          <w:sz w:val="32"/>
          <w:szCs w:val="32"/>
        </w:rPr>
        <w:t>合同范本（仅供参考）</w:t>
      </w:r>
      <w:bookmarkEnd w:id="0"/>
      <w:bookmarkEnd w:id="1"/>
    </w:p>
    <w:p w14:paraId="6C525BDF">
      <w:pPr>
        <w:shd w:val="clear" w:color="auto" w:fill="auto"/>
        <w:jc w:val="center"/>
        <w:rPr>
          <w:rFonts w:hint="eastAsia" w:ascii="宋体" w:hAnsi="宋体" w:eastAsia="宋体" w:cs="宋体"/>
          <w:b/>
          <w:sz w:val="24"/>
        </w:rPr>
      </w:pPr>
      <w:r>
        <w:rPr>
          <w:rFonts w:hint="eastAsia" w:ascii="宋体" w:hAnsi="宋体" w:eastAsia="宋体" w:cs="宋体"/>
          <w:b/>
          <w:sz w:val="24"/>
        </w:rPr>
        <w:t>政府采购合同</w:t>
      </w:r>
    </w:p>
    <w:p w14:paraId="75017050">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w:t>
      </w:r>
    </w:p>
    <w:p w14:paraId="638FDDD1">
      <w:pPr>
        <w:shd w:val="clear" w:color="auto" w:fill="auto"/>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sz w:val="24"/>
          <w:u w:val="single"/>
          <w:lang w:val="en-US" w:eastAsia="zh-CN"/>
        </w:rPr>
        <w:t xml:space="preserve">         （项目名称）</w:t>
      </w:r>
      <w:r>
        <w:rPr>
          <w:rFonts w:hint="eastAsia" w:ascii="宋体" w:hAnsi="宋体" w:eastAsia="宋体" w:cs="宋体"/>
          <w:sz w:val="24"/>
        </w:rPr>
        <w:t>，在</w:t>
      </w:r>
      <w:r>
        <w:rPr>
          <w:rFonts w:hint="eastAsia" w:ascii="宋体" w:hAnsi="宋体" w:eastAsia="宋体" w:cs="宋体"/>
          <w:sz w:val="24"/>
          <w:u w:val="single"/>
          <w:lang w:val="en-US" w:eastAsia="zh-CN"/>
        </w:rPr>
        <w:t xml:space="preserve">             </w:t>
      </w:r>
      <w:r>
        <w:rPr>
          <w:rFonts w:hint="eastAsia" w:ascii="宋体" w:hAnsi="宋体" w:eastAsia="宋体" w:cs="宋体"/>
          <w:sz w:val="24"/>
        </w:rPr>
        <w:t>（以下简称甲方）的监督管理下，由</w:t>
      </w:r>
      <w:r>
        <w:rPr>
          <w:rFonts w:hint="eastAsia" w:ascii="宋体" w:hAnsi="宋体" w:eastAsia="宋体" w:cs="宋体"/>
          <w:sz w:val="24"/>
          <w:u w:val="single"/>
          <w:lang w:val="en-US" w:eastAsia="zh-CN"/>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lang w:val="en-US" w:eastAsia="zh-CN"/>
        </w:rPr>
        <w:t xml:space="preserve"> （采购代理机构） </w:t>
      </w:r>
      <w:r>
        <w:rPr>
          <w:rFonts w:hint="eastAsia" w:ascii="宋体" w:hAnsi="宋体" w:eastAsia="宋体" w:cs="宋体"/>
          <w:sz w:val="24"/>
        </w:rPr>
        <w:t>组织采购，选定</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 xml:space="preserve"> (以下简称乙方）为该项目成交供应商。依据《中华人民共和国民法典》和《中华人民共和国政府采购法》，经甲、乙双方共同协商，按下述条款和条件签署本合同</w:t>
      </w:r>
      <w:r>
        <w:rPr>
          <w:rFonts w:hint="eastAsia" w:ascii="宋体" w:hAnsi="宋体" w:eastAsia="宋体" w:cs="宋体"/>
          <w:bCs/>
          <w:sz w:val="24"/>
          <w:szCs w:val="24"/>
          <w:highlight w:val="none"/>
        </w:rPr>
        <w:t>。</w:t>
      </w:r>
    </w:p>
    <w:p w14:paraId="3BEE879B">
      <w:pPr>
        <w:autoSpaceDE w:val="0"/>
        <w:autoSpaceDN w:val="0"/>
        <w:adjustRightInd w:val="0"/>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bCs/>
          <w:sz w:val="24"/>
          <w:szCs w:val="24"/>
          <w:highlight w:val="none"/>
        </w:rPr>
        <w:t>依据《中华人民共和国</w:t>
      </w:r>
      <w:r>
        <w:rPr>
          <w:rFonts w:hint="eastAsia" w:ascii="宋体" w:hAnsi="宋体" w:eastAsia="宋体" w:cs="宋体"/>
          <w:bCs/>
          <w:sz w:val="24"/>
          <w:szCs w:val="24"/>
          <w:highlight w:val="none"/>
          <w:lang w:eastAsia="zh-CN"/>
        </w:rPr>
        <w:t>民法典</w:t>
      </w:r>
      <w:r>
        <w:rPr>
          <w:rFonts w:hint="eastAsia" w:ascii="宋体" w:hAnsi="宋体" w:eastAsia="宋体" w:cs="宋体"/>
          <w:bCs/>
          <w:sz w:val="24"/>
          <w:szCs w:val="24"/>
          <w:highlight w:val="none"/>
        </w:rPr>
        <w:t>》和《</w:t>
      </w:r>
      <w:r>
        <w:rPr>
          <w:rFonts w:hint="eastAsia" w:ascii="宋体" w:hAnsi="宋体" w:eastAsia="宋体" w:cs="宋体"/>
          <w:bCs/>
          <w:color w:val="auto"/>
          <w:sz w:val="24"/>
          <w:szCs w:val="24"/>
          <w:highlight w:val="none"/>
        </w:rPr>
        <w:t>中华人民共和国政府采购法》，经双方协商按下述条款和条件签署本合同。</w:t>
      </w:r>
    </w:p>
    <w:p w14:paraId="30C70806">
      <w:pPr>
        <w:pStyle w:val="11"/>
        <w:pageBreakBefore w:val="0"/>
        <w:widowControl w:val="0"/>
        <w:shd w:val="clear" w:color="auto" w:fill="auto"/>
        <w:kinsoku/>
        <w:wordWrap/>
        <w:overflowPunct/>
        <w:topLinePunct w:val="0"/>
        <w:autoSpaceDE/>
        <w:autoSpaceDN/>
        <w:bidi w:val="0"/>
        <w:adjustRightInd/>
        <w:snapToGrid/>
        <w:spacing w:before="156" w:after="156" w:line="500" w:lineRule="exact"/>
        <w:ind w:left="0" w:leftChars="0" w:firstLine="0" w:firstLineChars="0"/>
        <w:textAlignment w:val="auto"/>
        <w:outlineLvl w:val="1"/>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一、项目概况</w:t>
      </w:r>
    </w:p>
    <w:p w14:paraId="0B2D4854">
      <w:pPr>
        <w:pageBreakBefore w:val="0"/>
        <w:widowControl w:val="0"/>
        <w:shd w:val="clear" w:color="auto" w:fill="auto"/>
        <w:kinsoku/>
        <w:wordWrap/>
        <w:overflowPunct/>
        <w:topLinePunct w:val="0"/>
        <w:autoSpaceDE/>
        <w:autoSpaceDN/>
        <w:bidi w:val="0"/>
        <w:adjustRightInd/>
        <w:snapToGrid/>
        <w:spacing w:line="500" w:lineRule="exact"/>
        <w:ind w:firstLine="420"/>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rPr>
        <w:t>项目名称：</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b w:val="0"/>
          <w:bCs/>
          <w:color w:val="auto"/>
          <w:sz w:val="24"/>
          <w:szCs w:val="24"/>
          <w:u w:val="single"/>
          <w:lang w:val="en-US" w:eastAsia="zh-CN"/>
        </w:rPr>
        <w:t xml:space="preserve">                         </w:t>
      </w:r>
    </w:p>
    <w:p w14:paraId="647FAE0B">
      <w:pPr>
        <w:pageBreakBefore w:val="0"/>
        <w:widowControl w:val="0"/>
        <w:shd w:val="clear" w:color="auto" w:fill="auto"/>
        <w:kinsoku/>
        <w:wordWrap/>
        <w:overflowPunct/>
        <w:topLinePunct w:val="0"/>
        <w:autoSpaceDE/>
        <w:autoSpaceDN/>
        <w:bidi w:val="0"/>
        <w:adjustRightInd/>
        <w:snapToGrid/>
        <w:spacing w:line="500" w:lineRule="exact"/>
        <w:ind w:firstLine="420"/>
        <w:textAlignment w:val="auto"/>
        <w:rPr>
          <w:rFonts w:hint="eastAsia" w:ascii="宋体" w:hAnsi="宋体" w:eastAsia="宋体" w:cs="宋体"/>
          <w:b w:val="0"/>
          <w:bCs/>
          <w:color w:val="auto"/>
          <w:sz w:val="24"/>
          <w:szCs w:val="24"/>
          <w:u w:val="single"/>
          <w:lang w:val="en-US" w:eastAsia="zh-CN"/>
        </w:rPr>
      </w:pPr>
      <w:r>
        <w:rPr>
          <w:rFonts w:hint="eastAsia" w:ascii="宋体" w:hAnsi="宋体" w:eastAsia="宋体" w:cs="宋体"/>
          <w:color w:val="auto"/>
          <w:sz w:val="24"/>
          <w:szCs w:val="24"/>
          <w:lang w:val="en-US" w:eastAsia="zh-CN"/>
        </w:rPr>
        <w:t>项目编号</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b w:val="0"/>
          <w:bCs/>
          <w:color w:val="auto"/>
          <w:sz w:val="24"/>
          <w:szCs w:val="24"/>
          <w:u w:val="single"/>
          <w:lang w:val="en-US" w:eastAsia="zh-CN"/>
        </w:rPr>
        <w:t xml:space="preserve">                         </w:t>
      </w:r>
    </w:p>
    <w:p w14:paraId="5E28C7C1">
      <w:pPr>
        <w:pageBreakBefore w:val="0"/>
        <w:widowControl w:val="0"/>
        <w:shd w:val="clear" w:color="auto" w:fill="auto"/>
        <w:kinsoku/>
        <w:wordWrap/>
        <w:overflowPunct/>
        <w:topLinePunct w:val="0"/>
        <w:autoSpaceDE/>
        <w:autoSpaceDN/>
        <w:bidi w:val="0"/>
        <w:adjustRightInd/>
        <w:snapToGrid/>
        <w:spacing w:line="500" w:lineRule="exact"/>
        <w:ind w:firstLine="420"/>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lang w:val="en-US" w:eastAsia="zh-CN"/>
        </w:rPr>
        <w:t>项目地点</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b w:val="0"/>
          <w:bCs/>
          <w:color w:val="auto"/>
          <w:sz w:val="24"/>
          <w:szCs w:val="24"/>
          <w:u w:val="single"/>
          <w:lang w:val="en-US" w:eastAsia="zh-CN"/>
        </w:rPr>
        <w:t xml:space="preserve">                         </w:t>
      </w:r>
    </w:p>
    <w:p w14:paraId="16A59B5F">
      <w:pPr>
        <w:keepNext w:val="0"/>
        <w:keepLines w:val="0"/>
        <w:pageBreakBefore w:val="0"/>
        <w:widowControl/>
        <w:kinsoku/>
        <w:wordWrap w:val="0"/>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二、合同价款</w:t>
      </w:r>
      <w:r>
        <w:rPr>
          <w:rFonts w:hint="eastAsia" w:ascii="宋体" w:hAnsi="宋体" w:cs="宋体"/>
          <w:b/>
          <w:color w:val="auto"/>
          <w:sz w:val="24"/>
          <w:szCs w:val="24"/>
          <w:lang w:eastAsia="zh-CN"/>
        </w:rPr>
        <w:t>：</w:t>
      </w:r>
      <w:r>
        <w:rPr>
          <w:rFonts w:hint="eastAsia" w:ascii="宋体" w:hAnsi="宋体" w:eastAsia="宋体" w:cs="宋体"/>
          <w:color w:val="auto"/>
          <w:sz w:val="24"/>
          <w:szCs w:val="24"/>
        </w:rPr>
        <w:t>本项目采用单价合同。结算时以实际发生的零配件费、工时费及维护保养材料费据实结算。累计结算总额不超过本项目采购预算。</w:t>
      </w:r>
    </w:p>
    <w:p w14:paraId="59E31407">
      <w:pPr>
        <w:spacing w:line="360" w:lineRule="auto"/>
        <w:ind w:firstLine="482" w:firstLineChars="200"/>
        <w:rPr>
          <w:rFonts w:hint="default"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详见分项报价表附件</w:t>
      </w:r>
    </w:p>
    <w:p w14:paraId="36C64FBC">
      <w:pPr>
        <w:spacing w:line="360" w:lineRule="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三</w:t>
      </w:r>
      <w:r>
        <w:rPr>
          <w:rFonts w:hint="eastAsia" w:ascii="宋体" w:hAnsi="宋体" w:eastAsia="宋体" w:cs="宋体"/>
          <w:b/>
          <w:bCs/>
          <w:color w:val="auto"/>
          <w:sz w:val="24"/>
          <w:szCs w:val="24"/>
          <w:highlight w:val="none"/>
          <w:lang w:val="zh-CN"/>
        </w:rPr>
        <w:t>、合同条款及附件</w:t>
      </w:r>
    </w:p>
    <w:p w14:paraId="24BAF93E">
      <w:pPr>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（一）合同条款</w:t>
      </w:r>
    </w:p>
    <w:p w14:paraId="522823C2">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（二）合同条款附件</w:t>
      </w:r>
    </w:p>
    <w:p w14:paraId="46564E15">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附件1—服务内容与说明</w:t>
      </w:r>
    </w:p>
    <w:p w14:paraId="4FB13DF3">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附件2—服务方案</w:t>
      </w:r>
    </w:p>
    <w:p w14:paraId="39C24E82">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（三）</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lang w:val="zh-CN"/>
        </w:rPr>
        <w:t>通知书</w:t>
      </w:r>
    </w:p>
    <w:p w14:paraId="34AE9417">
      <w:pPr>
        <w:spacing w:line="360" w:lineRule="auto"/>
        <w:ind w:firstLine="480" w:firstLineChars="200"/>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rPr>
        <w:t>（四）</w:t>
      </w:r>
      <w:r>
        <w:rPr>
          <w:rFonts w:hint="eastAsia" w:ascii="宋体" w:hAnsi="宋体" w:eastAsia="宋体" w:cs="宋体"/>
          <w:sz w:val="24"/>
          <w:szCs w:val="24"/>
          <w:highlight w:val="none"/>
          <w:lang w:val="en-US" w:eastAsia="zh-CN"/>
        </w:rPr>
        <w:t>磋商</w:t>
      </w:r>
      <w:r>
        <w:rPr>
          <w:rFonts w:hint="eastAsia" w:ascii="宋体" w:hAnsi="宋体" w:eastAsia="宋体" w:cs="宋体"/>
          <w:sz w:val="24"/>
          <w:szCs w:val="24"/>
          <w:highlight w:val="none"/>
          <w:lang w:val="zh-CN" w:eastAsia="zh-CN"/>
        </w:rPr>
        <w:t>文件</w:t>
      </w:r>
    </w:p>
    <w:p w14:paraId="2E9A0AAC">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highlight w:val="none"/>
          <w:lang w:val="zh-CN"/>
        </w:rPr>
        <w:t>（五）</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lang w:val="zh-CN" w:eastAsia="zh-CN"/>
        </w:rPr>
        <w:t>文件</w:t>
      </w:r>
    </w:p>
    <w:p w14:paraId="1FA62348">
      <w:pPr>
        <w:keepNext w:val="0"/>
        <w:keepLines w:val="0"/>
        <w:pageBreakBefore w:val="0"/>
        <w:widowControl/>
        <w:kinsoku/>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lang w:val="en-US" w:eastAsia="zh-CN"/>
        </w:rPr>
        <w:t>四</w:t>
      </w:r>
      <w:r>
        <w:rPr>
          <w:rFonts w:hint="eastAsia" w:ascii="宋体" w:hAnsi="宋体" w:eastAsia="宋体" w:cs="宋体"/>
          <w:b/>
          <w:sz w:val="24"/>
          <w:szCs w:val="24"/>
        </w:rPr>
        <w:t>、款项结算</w:t>
      </w:r>
    </w:p>
    <w:p w14:paraId="63FA6F96">
      <w:pPr>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（一）合同签订后，甲方收到增值税普通发票后，达到付款条件起10日内，支付合同总金额的50.00%；；</w:t>
      </w:r>
    </w:p>
    <w:p w14:paraId="359B5423">
      <w:pPr>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2025年第三季度结束，经验收合格，甲方收到增值税普通发票后，达到付款条件起10日内，支付合同总金额的25.00%；</w:t>
      </w:r>
    </w:p>
    <w:p w14:paraId="07B98086">
      <w:pPr>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2025年第四季度，于12月初进行验收，经验收合格，甲方收到增值税普通发票后，达到付款条件起10日内，支付合同总金额的25.00%；。</w:t>
      </w:r>
    </w:p>
    <w:p w14:paraId="5EE2B4F9">
      <w:pPr>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（二）支付方式：银行转账。</w:t>
      </w:r>
    </w:p>
    <w:p w14:paraId="203C59C0">
      <w:pPr>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（三）结算方式：验收合格后填写政府采购项目验收单（一式伍份），</w:t>
      </w:r>
      <w:r>
        <w:rPr>
          <w:rFonts w:hint="eastAsia" w:ascii="宋体" w:hAnsi="宋体" w:eastAsia="宋体" w:cs="宋体"/>
          <w:sz w:val="24"/>
          <w:szCs w:val="24"/>
          <w:lang w:eastAsia="zh-CN"/>
        </w:rPr>
        <w:t>供应商</w:t>
      </w:r>
      <w:r>
        <w:rPr>
          <w:rFonts w:hint="eastAsia" w:ascii="宋体" w:hAnsi="宋体" w:eastAsia="宋体" w:cs="宋体"/>
          <w:sz w:val="24"/>
          <w:szCs w:val="24"/>
        </w:rPr>
        <w:t>持成交通知书、服务合同、正式发票、政府采购项目验收单，与采购人结算。</w:t>
      </w:r>
    </w:p>
    <w:p w14:paraId="70A20006">
      <w:pPr>
        <w:keepNext w:val="0"/>
        <w:keepLines w:val="0"/>
        <w:pageBreakBefore w:val="0"/>
        <w:widowControl/>
        <w:kinsoku/>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lang w:eastAsia="zh-CN"/>
        </w:rPr>
      </w:pPr>
      <w:r>
        <w:rPr>
          <w:rFonts w:hint="eastAsia" w:ascii="宋体" w:hAnsi="宋体" w:eastAsia="宋体" w:cs="宋体"/>
          <w:b/>
          <w:sz w:val="24"/>
          <w:szCs w:val="24"/>
          <w:lang w:val="en-US" w:eastAsia="zh-CN"/>
        </w:rPr>
        <w:t>五</w:t>
      </w:r>
      <w:r>
        <w:rPr>
          <w:rFonts w:hint="eastAsia" w:ascii="宋体" w:hAnsi="宋体" w:eastAsia="宋体" w:cs="宋体"/>
          <w:b/>
          <w:sz w:val="24"/>
          <w:szCs w:val="24"/>
        </w:rPr>
        <w:t>、</w:t>
      </w:r>
      <w:r>
        <w:rPr>
          <w:rFonts w:hint="eastAsia" w:ascii="宋体" w:hAnsi="宋体" w:eastAsia="宋体" w:cs="宋体"/>
          <w:b/>
          <w:color w:val="auto"/>
          <w:sz w:val="24"/>
          <w:szCs w:val="24"/>
        </w:rPr>
        <w:t>服务</w:t>
      </w:r>
      <w:r>
        <w:rPr>
          <w:rFonts w:hint="eastAsia" w:ascii="宋体" w:hAnsi="宋体" w:cs="宋体"/>
          <w:b/>
          <w:color w:val="auto"/>
          <w:sz w:val="24"/>
          <w:szCs w:val="24"/>
          <w:lang w:val="en-US" w:eastAsia="zh-CN"/>
        </w:rPr>
        <w:t>要求</w:t>
      </w:r>
    </w:p>
    <w:p w14:paraId="417DC416">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必须在确保安全第一、熟悉车辆性能的情况下维修，维修过程需拍照留档，所更换的配件需拍新、旧对比照片存档并上报。</w:t>
      </w:r>
    </w:p>
    <w:p w14:paraId="5EE9CD7E">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车</w:t>
      </w:r>
      <w:bookmarkStart w:id="2" w:name="_Hlk192232024"/>
      <w:r>
        <w:rPr>
          <w:rFonts w:hint="eastAsia" w:ascii="宋体" w:hAnsi="宋体" w:eastAsia="宋体" w:cs="宋体"/>
          <w:sz w:val="24"/>
          <w:szCs w:val="24"/>
        </w:rPr>
        <w:t>辆</w:t>
      </w:r>
      <w:bookmarkEnd w:id="2"/>
      <w:r>
        <w:rPr>
          <w:rFonts w:hint="eastAsia" w:ascii="宋体" w:hAnsi="宋体" w:eastAsia="宋体" w:cs="宋体"/>
          <w:sz w:val="24"/>
          <w:szCs w:val="24"/>
        </w:rPr>
        <w:t>上装液压系统及转运箱体，一般故障必须随叫随到排除故障，工时不超过一个工作日，疑难特殊故障需本站领导和维修厂协调解决，维修时间不超过三个工作日</w:t>
      </w:r>
    </w:p>
    <w:p w14:paraId="796A7FF4">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维修车辆所使用的零配件要使用正厂配件，车辆上装液压及转运箱体配件由重庆耐德新明和工业有限公司直接发货，确因特殊情况需使用专厂品牌件，应事先告知送修单位并做好记录，在取得同意并保证车辆能正常安全行驶的情况下，方可使用，但车辆上装液压及转运箱体的关键部位如:液压泵、油缸、阀体、控制器、液压系统等关键部位禁止使用副厂零配件。</w:t>
      </w:r>
    </w:p>
    <w:p w14:paraId="5AABAFF3">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维修上装液压系统过程中需做好其他部件防护措施例如：</w:t>
      </w:r>
    </w:p>
    <w:p w14:paraId="715DF8ED">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①多路阀漏油更换密封，需将液压柱塞用棉布包裹好，避免碰伤。</w:t>
      </w:r>
    </w:p>
    <w:p w14:paraId="78295FDA">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②液压油缸漏油更换密封，需将油缸芯放在软垫子上火木板上，避免碰伤。</w:t>
      </w:r>
    </w:p>
    <w:p w14:paraId="279692EA">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在上装操作过程中做好每根线束的包裹固定，以免在使用过程中磨损、搭铁造成其他故障。</w:t>
      </w:r>
    </w:p>
    <w:p w14:paraId="22B6CFD9">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车辆在行驶途中出现故障，需要外出救援时第一时间救援。</w:t>
      </w:r>
    </w:p>
    <w:p w14:paraId="5D44F4A5">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车辆液压系统、上装系统、箱体维修完成后，需及时清理在维修过程中产生的垃圾，保持车辆及地面卫生干净。</w:t>
      </w:r>
    </w:p>
    <w:p w14:paraId="084D35DC">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应保证采购人获得优先服务的权利，并在不超过承诺的维修期限内完成维修工作。</w:t>
      </w:r>
    </w:p>
    <w:p w14:paraId="02581509">
      <w:pPr>
        <w:keepNext w:val="0"/>
        <w:keepLines w:val="0"/>
        <w:pageBreakBefore w:val="0"/>
        <w:widowControl/>
        <w:kinsoku/>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lang w:val="en-US" w:eastAsia="zh-CN"/>
        </w:rPr>
        <w:t>六</w:t>
      </w:r>
      <w:r>
        <w:rPr>
          <w:rFonts w:hint="eastAsia" w:ascii="宋体" w:hAnsi="宋体" w:eastAsia="宋体" w:cs="宋体"/>
          <w:b/>
          <w:color w:val="auto"/>
          <w:sz w:val="24"/>
          <w:szCs w:val="24"/>
        </w:rPr>
        <w:t>、验收</w:t>
      </w:r>
    </w:p>
    <w:p w14:paraId="647DEA1E">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服务期满后，甲方对本项目的实施情况进行验收，确认服务标准和服务方式是否达到采购要求（必要时采购人可委托技术专家对项目进行验收）。验收合格后，填写政府采购项目验收单（一式伍份）作为对项目的最终认可。</w:t>
      </w:r>
    </w:p>
    <w:p w14:paraId="5F2090DD">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（二）验收依据</w:t>
      </w:r>
    </w:p>
    <w:p w14:paraId="3CD0B00F">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1、磋商文件、响应文件、澄清表（函）；</w:t>
      </w:r>
    </w:p>
    <w:p w14:paraId="45FEA651">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2、本合同及附件文本；</w:t>
      </w:r>
    </w:p>
    <w:p w14:paraId="78178FD8">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4C5F8CCB">
      <w:pPr>
        <w:keepNext w:val="0"/>
        <w:keepLines w:val="0"/>
        <w:pageBreakBefore w:val="0"/>
        <w:widowControl/>
        <w:kinsoku/>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lang w:val="en-US" w:eastAsia="zh-CN"/>
        </w:rPr>
        <w:t>七</w:t>
      </w:r>
      <w:r>
        <w:rPr>
          <w:rFonts w:hint="eastAsia" w:ascii="宋体" w:hAnsi="宋体" w:eastAsia="宋体" w:cs="宋体"/>
          <w:b/>
          <w:sz w:val="24"/>
          <w:szCs w:val="24"/>
        </w:rPr>
        <w:t>、权利和义务</w:t>
      </w:r>
    </w:p>
    <w:p w14:paraId="7CE93F69">
      <w:pPr>
        <w:keepNext w:val="0"/>
        <w:keepLines w:val="0"/>
        <w:pageBreakBefore w:val="0"/>
        <w:widowControl/>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（一）甲方权利义务</w:t>
      </w:r>
    </w:p>
    <w:p w14:paraId="4E16F466">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1、甲方有权对送交乙方维修、保养车辆的保修质量、进度进行监督与管理，对乙方因服务态度、修理质量、配件质量等影响甲方营运车辆正常使用的，甲方有权拒绝付费或扣罚费用，乙方应立即予以改进。</w:t>
      </w:r>
    </w:p>
    <w:p w14:paraId="73683489">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甲方有权监督乙方是否建立、健全各种作业规范、安全操作规程、文明生产等规章制度。如甲方发现乙方有不按规范操作、零部件组装过程清洁不达标、车辆竣工后卫生状况差等情况，甲方有权拒绝付费或扣罚费用，乙方应立即予以改进。</w:t>
      </w:r>
    </w:p>
    <w:p w14:paraId="0A99D2F3">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3、甲方应按照合同规定，按时足额向乙方缴纳本合同项下的服务费及其它应付费用。</w:t>
      </w:r>
    </w:p>
    <w:p w14:paraId="575B079D">
      <w:pPr>
        <w:keepNext w:val="0"/>
        <w:keepLines w:val="0"/>
        <w:pageBreakBefore w:val="0"/>
        <w:widowControl/>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（二）乙方权利义务</w:t>
      </w:r>
    </w:p>
    <w:p w14:paraId="52E0CF7E">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1、有权要求甲方按规定支付经双方确认的维修、保养费用；</w:t>
      </w:r>
    </w:p>
    <w:p w14:paraId="3EDD4060">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2、乙方应严格按照托修车辆的技术规范或国家、汽车厂家有关技术标准、作业规范进行维修、保养作业，并严格执行质量标准和“三检”制度，做到文明作业、安全作业；</w:t>
      </w:r>
    </w:p>
    <w:p w14:paraId="3AAAA124">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3、乙方不得干涉甲方对托修车辆维修、保养过程进行监督，并对甲方提出的服务态度、修理质量等意见和建议进行回复、改正；</w:t>
      </w:r>
    </w:p>
    <w:p w14:paraId="6CA54C2B">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4、接到车辆抛锚通知后，乙方应及时组织维修和施救工作，确保不影响道路交通的正常秩序；</w:t>
      </w:r>
    </w:p>
    <w:p w14:paraId="19CA000B">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乙方在维修过程中，应遵循“有报必修、随报随修、先简后繁、先易后难，质量第一和小修不过夜”的维修原则，尽量缩短车辆维修时间；若出现特殊件待料、技术难题等不能按时竣工交车的，必须及时将详情反馈甲方，并征得甲方的同意。</w:t>
      </w:r>
    </w:p>
    <w:p w14:paraId="4D5D2601">
      <w:pPr>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C00000"/>
          <w:sz w:val="24"/>
          <w:szCs w:val="24"/>
        </w:rPr>
      </w:pPr>
      <w:r>
        <w:rPr>
          <w:rFonts w:hint="eastAsia" w:ascii="宋体" w:hAnsi="宋体" w:eastAsia="宋体" w:cs="宋体"/>
          <w:sz w:val="24"/>
          <w:szCs w:val="24"/>
        </w:rPr>
        <w:t>6、按照甲方报表要求，分类汇总车辆的修理费用、材料费用、车检费用明细。</w:t>
      </w:r>
    </w:p>
    <w:p w14:paraId="3232E818">
      <w:pPr>
        <w:spacing w:line="360" w:lineRule="auto"/>
        <w:rPr>
          <w:rFonts w:hint="eastAsia" w:ascii="宋体" w:hAnsi="宋体" w:eastAsia="宋体" w:cs="宋体"/>
          <w:b/>
          <w:bCs/>
          <w:sz w:val="24"/>
          <w:szCs w:val="24"/>
          <w:highlight w:val="none"/>
          <w:lang w:val="zh-CN"/>
        </w:rPr>
      </w:pPr>
      <w:r>
        <w:rPr>
          <w:rFonts w:hint="eastAsia" w:ascii="宋体" w:hAnsi="宋体" w:eastAsia="宋体" w:cs="宋体"/>
          <w:b/>
          <w:sz w:val="24"/>
          <w:szCs w:val="24"/>
          <w:lang w:val="en-US" w:eastAsia="zh-CN"/>
        </w:rPr>
        <w:t>八</w:t>
      </w:r>
      <w:r>
        <w:rPr>
          <w:rFonts w:hint="eastAsia" w:ascii="宋体" w:hAnsi="宋体" w:eastAsia="宋体" w:cs="宋体"/>
          <w:b/>
          <w:sz w:val="24"/>
          <w:szCs w:val="24"/>
        </w:rPr>
        <w:t>、</w:t>
      </w:r>
      <w:r>
        <w:rPr>
          <w:rFonts w:hint="eastAsia" w:ascii="宋体" w:hAnsi="宋体" w:eastAsia="宋体" w:cs="宋体"/>
          <w:b/>
          <w:bCs/>
          <w:sz w:val="24"/>
          <w:szCs w:val="24"/>
          <w:highlight w:val="none"/>
          <w:lang w:val="zh-CN"/>
        </w:rPr>
        <w:t>违约责任</w:t>
      </w:r>
    </w:p>
    <w:p w14:paraId="7453B869">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（一）按《民法典》中的相关条款执行。</w:t>
      </w:r>
    </w:p>
    <w:p w14:paraId="343DA631">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（二）乙方履约延误</w:t>
      </w:r>
    </w:p>
    <w:p w14:paraId="2A6D1A5C">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1、如乙方事先未征得甲方同意并得到甲方的谅解而单方面延迟交货，将按违约终止合同。</w:t>
      </w:r>
    </w:p>
    <w:p w14:paraId="2F314905">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产品交货价或未提供服务的服务费用的百分之零点五（0.5%）计收，直至交货或提供服务为止。误期赔偿费的最高限额为合同价格的百分之五（5%）。一旦达到误期赔偿费的最高限额，甲方可终止合同。</w:t>
      </w:r>
    </w:p>
    <w:p w14:paraId="75BEBA59">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3、违约终止合同：未按合同要求提供产品或质量不能满足技术要求，甲方会同监督机构有权终止合同，对乙方违约行为进行追究，同时按政府采购法的有关规定进行相应的处罚。</w:t>
      </w:r>
    </w:p>
    <w:p w14:paraId="45B67C9B">
      <w:pPr>
        <w:spacing w:line="360" w:lineRule="auto"/>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en-US" w:eastAsia="zh-CN"/>
        </w:rPr>
        <w:t>九</w:t>
      </w:r>
      <w:r>
        <w:rPr>
          <w:rFonts w:hint="eastAsia" w:ascii="宋体" w:hAnsi="宋体" w:eastAsia="宋体" w:cs="宋体"/>
          <w:b/>
          <w:bCs/>
          <w:sz w:val="24"/>
          <w:szCs w:val="24"/>
          <w:highlight w:val="none"/>
          <w:lang w:val="zh-CN"/>
        </w:rPr>
        <w:t>、合同争议解决的方式</w:t>
      </w:r>
    </w:p>
    <w:p w14:paraId="1EB01540">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本合同在履行过程中发生的争议，由甲、乙双方当事人协商解决，协商不成的按下列第</w:t>
      </w:r>
      <w:r>
        <w:rPr>
          <w:rFonts w:hint="eastAsia" w:ascii="宋体" w:hAnsi="宋体" w:eastAsia="宋体" w:cs="宋体"/>
          <w:sz w:val="24"/>
          <w:szCs w:val="24"/>
          <w:highlight w:val="none"/>
          <w:u w:val="single"/>
          <w:lang w:val="zh-CN"/>
        </w:rPr>
        <w:t>（二）</w:t>
      </w:r>
      <w:r>
        <w:rPr>
          <w:rFonts w:hint="eastAsia" w:ascii="宋体" w:hAnsi="宋体" w:eastAsia="宋体" w:cs="宋体"/>
          <w:sz w:val="24"/>
          <w:szCs w:val="24"/>
          <w:highlight w:val="none"/>
          <w:lang w:val="zh-CN"/>
        </w:rPr>
        <w:t>种方式解决：</w:t>
      </w:r>
    </w:p>
    <w:p w14:paraId="5F8A304B">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（一）提交西安仲裁委员会仲裁；</w:t>
      </w:r>
    </w:p>
    <w:p w14:paraId="619BC8CA">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（二）依法向甲方所在地人民法院起诉。</w:t>
      </w:r>
    </w:p>
    <w:p w14:paraId="0D72FEC9">
      <w:pPr>
        <w:spacing w:line="360" w:lineRule="auto"/>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en-US" w:eastAsia="zh-CN"/>
        </w:rPr>
        <w:t>十</w:t>
      </w:r>
      <w:r>
        <w:rPr>
          <w:rFonts w:hint="eastAsia" w:ascii="宋体" w:hAnsi="宋体" w:eastAsia="宋体" w:cs="宋体"/>
          <w:b/>
          <w:bCs/>
          <w:sz w:val="24"/>
          <w:szCs w:val="24"/>
          <w:highlight w:val="none"/>
          <w:lang w:val="zh-CN"/>
        </w:rPr>
        <w:t>、合同生效</w:t>
      </w:r>
    </w:p>
    <w:p w14:paraId="2FB8CCCC">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（一）本合同经双方签字盖章后生效。</w:t>
      </w:r>
    </w:p>
    <w:p w14:paraId="100DFE7E">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（二）本合同须经甲、乙双方的法定代表人（授权代理人）在合同书上签字并加盖本单位公章后正式生效。</w:t>
      </w:r>
    </w:p>
    <w:p w14:paraId="7783795D">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（三）合同生效后，甲、乙双方须严格执行本合同条款的规定，全面履行合同，违者按《中华人民共和国民法典》的有关规定承担相应责任。</w:t>
      </w:r>
    </w:p>
    <w:p w14:paraId="595E736A">
      <w:pPr>
        <w:spacing w:line="360" w:lineRule="auto"/>
        <w:ind w:firstLine="480" w:firstLineChars="200"/>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（四）本合同一式</w:t>
      </w:r>
      <w:r>
        <w:rPr>
          <w:rFonts w:hint="eastAsia" w:ascii="宋体" w:hAnsi="宋体" w:eastAsia="宋体" w:cs="宋体"/>
          <w:b/>
          <w:bCs/>
          <w:sz w:val="24"/>
          <w:szCs w:val="24"/>
          <w:highlight w:val="none"/>
          <w:u w:val="single"/>
          <w:lang w:val="zh-CN"/>
        </w:rPr>
        <w:t xml:space="preserve">   </w:t>
      </w:r>
      <w:r>
        <w:rPr>
          <w:rFonts w:hint="eastAsia" w:ascii="宋体" w:hAnsi="宋体" w:eastAsia="宋体" w:cs="宋体"/>
          <w:sz w:val="24"/>
          <w:szCs w:val="24"/>
          <w:highlight w:val="none"/>
          <w:lang w:val="zh-CN"/>
        </w:rPr>
        <w:t>份，甲乙双方各执</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份，鉴证方执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w:t>
      </w:r>
      <w:r>
        <w:rPr>
          <w:rFonts w:hint="eastAsia" w:ascii="宋体" w:hAnsi="宋体" w:eastAsia="宋体" w:cs="宋体"/>
          <w:sz w:val="24"/>
          <w:szCs w:val="24"/>
          <w:highlight w:val="none"/>
          <w:lang w:val="zh-CN"/>
        </w:rPr>
        <w:t>。</w:t>
      </w:r>
    </w:p>
    <w:p w14:paraId="0BDADE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（五）本合同如有未尽事宜，甲、乙双方协商解决。</w:t>
      </w:r>
    </w:p>
    <w:p w14:paraId="6FDE7156">
      <w:pPr>
        <w:pStyle w:val="3"/>
        <w:rPr>
          <w:rFonts w:hint="eastAsia" w:ascii="宋体" w:hAnsi="宋体" w:eastAsia="宋体" w:cs="宋体"/>
          <w:sz w:val="24"/>
          <w:szCs w:val="24"/>
          <w:highlight w:val="none"/>
          <w:lang w:val="zh-CN"/>
        </w:rPr>
      </w:pPr>
    </w:p>
    <w:p w14:paraId="36A4C4FB">
      <w:pPr>
        <w:rPr>
          <w:rFonts w:hint="eastAsia" w:ascii="宋体" w:hAnsi="宋体" w:eastAsia="宋体" w:cs="宋体"/>
          <w:sz w:val="24"/>
          <w:szCs w:val="24"/>
          <w:highlight w:val="none"/>
          <w:lang w:val="zh-CN"/>
        </w:rPr>
      </w:pPr>
    </w:p>
    <w:p w14:paraId="167621B1">
      <w:pPr>
        <w:pStyle w:val="2"/>
        <w:rPr>
          <w:rFonts w:hint="eastAsia" w:ascii="宋体" w:hAnsi="宋体" w:eastAsia="宋体" w:cs="宋体"/>
          <w:sz w:val="24"/>
          <w:szCs w:val="24"/>
          <w:highlight w:val="none"/>
          <w:lang w:val="zh-CN"/>
        </w:rPr>
      </w:pPr>
    </w:p>
    <w:p w14:paraId="15E6C9F0">
      <w:pPr>
        <w:pStyle w:val="3"/>
        <w:rPr>
          <w:rFonts w:hint="eastAsia" w:ascii="宋体" w:hAnsi="宋体" w:eastAsia="宋体" w:cs="宋体"/>
          <w:sz w:val="24"/>
          <w:szCs w:val="24"/>
          <w:highlight w:val="none"/>
          <w:lang w:val="zh-CN"/>
        </w:rPr>
      </w:pPr>
    </w:p>
    <w:p w14:paraId="7EE1C189">
      <w:pPr>
        <w:rPr>
          <w:rFonts w:hint="eastAsia" w:ascii="宋体" w:hAnsi="宋体" w:eastAsia="宋体" w:cs="宋体"/>
          <w:sz w:val="24"/>
          <w:szCs w:val="24"/>
          <w:highlight w:val="none"/>
          <w:lang w:val="zh-CN"/>
        </w:rPr>
      </w:pPr>
      <w:bookmarkStart w:id="3" w:name="_GoBack"/>
      <w:bookmarkEnd w:id="3"/>
    </w:p>
    <w:p w14:paraId="5988DB31">
      <w:pPr>
        <w:pStyle w:val="2"/>
        <w:rPr>
          <w:rFonts w:hint="eastAsia" w:ascii="宋体" w:hAnsi="宋体" w:eastAsia="宋体" w:cs="宋体"/>
          <w:sz w:val="24"/>
          <w:szCs w:val="24"/>
          <w:highlight w:val="none"/>
          <w:lang w:val="zh-CN"/>
        </w:rPr>
      </w:pPr>
    </w:p>
    <w:p w14:paraId="1264E23D">
      <w:pPr>
        <w:pStyle w:val="3"/>
        <w:rPr>
          <w:rFonts w:hint="eastAsia"/>
          <w:lang w:val="zh-CN"/>
        </w:rPr>
      </w:pPr>
    </w:p>
    <w:p w14:paraId="68ABB45A">
      <w:pPr>
        <w:rPr>
          <w:rFonts w:hint="eastAsia" w:ascii="宋体" w:hAnsi="宋体" w:eastAsia="宋体" w:cs="宋体"/>
          <w:sz w:val="24"/>
          <w:szCs w:val="24"/>
          <w:highlight w:val="none"/>
          <w:lang w:val="zh-CN"/>
        </w:rPr>
      </w:pPr>
    </w:p>
    <w:p w14:paraId="655FC9A2">
      <w:pPr>
        <w:pStyle w:val="3"/>
        <w:rPr>
          <w:rFonts w:hint="eastAsia"/>
          <w:lang w:val="zh-CN"/>
        </w:rPr>
      </w:pPr>
    </w:p>
    <w:tbl>
      <w:tblPr>
        <w:tblStyle w:val="8"/>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36"/>
        <w:gridCol w:w="4484"/>
      </w:tblGrid>
      <w:tr w14:paraId="37ED4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shd w:val="clear" w:color="auto" w:fill="D8D8D8"/>
            <w:noWrap w:val="0"/>
            <w:vAlign w:val="center"/>
          </w:tcPr>
          <w:p w14:paraId="6698B06E">
            <w:pPr>
              <w:spacing w:line="360" w:lineRule="auto"/>
              <w:jc w:val="center"/>
              <w:rPr>
                <w:rFonts w:hint="eastAsia" w:ascii="宋体" w:hAnsi="宋体" w:eastAsia="宋体" w:cs="宋体"/>
                <w:b/>
                <w:color w:val="000000"/>
              </w:rPr>
            </w:pPr>
            <w:r>
              <w:rPr>
                <w:rFonts w:hint="eastAsia" w:ascii="宋体" w:hAnsi="宋体" w:eastAsia="宋体" w:cs="宋体"/>
                <w:b/>
                <w:color w:val="000000"/>
              </w:rPr>
              <w:t>甲  方</w:t>
            </w:r>
          </w:p>
        </w:tc>
        <w:tc>
          <w:tcPr>
            <w:tcW w:w="2631" w:type="pct"/>
            <w:shd w:val="clear" w:color="auto" w:fill="D8D8D8"/>
            <w:noWrap w:val="0"/>
            <w:vAlign w:val="center"/>
          </w:tcPr>
          <w:p w14:paraId="69B7510E">
            <w:pPr>
              <w:spacing w:line="360" w:lineRule="auto"/>
              <w:jc w:val="center"/>
              <w:rPr>
                <w:rFonts w:hint="eastAsia" w:ascii="宋体" w:hAnsi="宋体" w:eastAsia="宋体" w:cs="宋体"/>
                <w:b/>
                <w:color w:val="000000"/>
              </w:rPr>
            </w:pPr>
            <w:r>
              <w:rPr>
                <w:rFonts w:hint="eastAsia" w:ascii="宋体" w:hAnsi="宋体" w:eastAsia="宋体" w:cs="宋体"/>
                <w:b/>
                <w:color w:val="000000"/>
              </w:rPr>
              <w:t>乙  方</w:t>
            </w:r>
          </w:p>
        </w:tc>
      </w:tr>
      <w:tr w14:paraId="04679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jc w:val="center"/>
        </w:trPr>
        <w:tc>
          <w:tcPr>
            <w:tcW w:w="2368" w:type="pct"/>
            <w:noWrap w:val="0"/>
            <w:vAlign w:val="center"/>
          </w:tcPr>
          <w:p w14:paraId="2104D07E">
            <w:pPr>
              <w:spacing w:line="360" w:lineRule="auto"/>
              <w:jc w:val="both"/>
              <w:rPr>
                <w:rFonts w:hint="eastAsia" w:ascii="宋体" w:hAnsi="宋体" w:eastAsia="宋体" w:cs="宋体"/>
                <w:color w:val="000000"/>
              </w:rPr>
            </w:pPr>
            <w:r>
              <w:rPr>
                <w:rFonts w:hint="eastAsia" w:ascii="宋体" w:hAnsi="宋体" w:eastAsia="宋体" w:cs="宋体"/>
                <w:color w:val="000000"/>
              </w:rPr>
              <w:t>采购人</w:t>
            </w:r>
          </w:p>
          <w:p w14:paraId="7AF2F5F7">
            <w:pPr>
              <w:spacing w:line="360" w:lineRule="auto"/>
              <w:jc w:val="both"/>
              <w:rPr>
                <w:rFonts w:hint="eastAsia" w:ascii="宋体" w:hAnsi="宋体" w:eastAsia="宋体" w:cs="宋体"/>
                <w:color w:val="000000"/>
              </w:rPr>
            </w:pPr>
            <w:r>
              <w:rPr>
                <w:rFonts w:hint="eastAsia" w:ascii="宋体" w:hAnsi="宋体" w:eastAsia="宋体" w:cs="宋体"/>
                <w:color w:val="000000"/>
              </w:rPr>
              <w:t>（公章）</w:t>
            </w:r>
          </w:p>
        </w:tc>
        <w:tc>
          <w:tcPr>
            <w:tcW w:w="2631" w:type="pct"/>
            <w:noWrap w:val="0"/>
            <w:vAlign w:val="center"/>
          </w:tcPr>
          <w:p w14:paraId="1E863241">
            <w:pPr>
              <w:spacing w:line="360" w:lineRule="auto"/>
              <w:jc w:val="both"/>
              <w:rPr>
                <w:rFonts w:hint="eastAsia" w:ascii="宋体" w:hAnsi="宋体" w:eastAsia="宋体" w:cs="宋体"/>
                <w:color w:val="000000"/>
              </w:rPr>
            </w:pPr>
            <w:r>
              <w:rPr>
                <w:rFonts w:hint="eastAsia" w:ascii="宋体" w:hAnsi="宋体" w:eastAsia="宋体" w:cs="宋体"/>
                <w:color w:val="000000"/>
              </w:rPr>
              <w:t>中标供应商</w:t>
            </w:r>
          </w:p>
          <w:p w14:paraId="291B3FD9">
            <w:pPr>
              <w:spacing w:line="360" w:lineRule="auto"/>
              <w:jc w:val="both"/>
              <w:rPr>
                <w:rFonts w:hint="eastAsia" w:ascii="宋体" w:hAnsi="宋体" w:eastAsia="宋体" w:cs="宋体"/>
                <w:color w:val="000000"/>
              </w:rPr>
            </w:pPr>
            <w:r>
              <w:rPr>
                <w:rFonts w:hint="eastAsia" w:ascii="宋体" w:hAnsi="宋体" w:eastAsia="宋体" w:cs="宋体"/>
                <w:color w:val="000000"/>
              </w:rPr>
              <w:t>（公章）</w:t>
            </w:r>
          </w:p>
        </w:tc>
      </w:tr>
      <w:tr w14:paraId="5B232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6188B31D">
            <w:pPr>
              <w:spacing w:line="360" w:lineRule="auto"/>
              <w:jc w:val="both"/>
              <w:rPr>
                <w:rFonts w:hint="eastAsia" w:ascii="宋体" w:hAnsi="宋体" w:eastAsia="宋体" w:cs="宋体"/>
                <w:color w:val="000000"/>
              </w:rPr>
            </w:pPr>
            <w:r>
              <w:rPr>
                <w:rFonts w:hint="eastAsia" w:ascii="宋体" w:hAnsi="宋体" w:eastAsia="宋体" w:cs="宋体"/>
                <w:color w:val="000000"/>
              </w:rPr>
              <w:t>地址：</w:t>
            </w:r>
          </w:p>
        </w:tc>
        <w:tc>
          <w:tcPr>
            <w:tcW w:w="2631" w:type="pct"/>
            <w:noWrap w:val="0"/>
            <w:vAlign w:val="center"/>
          </w:tcPr>
          <w:p w14:paraId="6C0BE812">
            <w:pPr>
              <w:spacing w:line="360" w:lineRule="auto"/>
              <w:jc w:val="both"/>
              <w:rPr>
                <w:rFonts w:hint="eastAsia" w:ascii="宋体" w:hAnsi="宋体" w:eastAsia="宋体" w:cs="宋体"/>
                <w:color w:val="000000"/>
              </w:rPr>
            </w:pPr>
            <w:r>
              <w:rPr>
                <w:rFonts w:hint="eastAsia" w:ascii="宋体" w:hAnsi="宋体" w:eastAsia="宋体" w:cs="宋体"/>
                <w:color w:val="000000"/>
              </w:rPr>
              <w:t>地址：</w:t>
            </w:r>
          </w:p>
        </w:tc>
      </w:tr>
      <w:tr w14:paraId="1E99A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5D58DCA5">
            <w:pPr>
              <w:spacing w:line="360" w:lineRule="auto"/>
              <w:jc w:val="both"/>
              <w:rPr>
                <w:rFonts w:hint="eastAsia" w:ascii="宋体" w:hAnsi="宋体" w:eastAsia="宋体" w:cs="宋体"/>
                <w:color w:val="000000"/>
              </w:rPr>
            </w:pPr>
            <w:r>
              <w:rPr>
                <w:rFonts w:hint="eastAsia" w:ascii="宋体" w:hAnsi="宋体" w:eastAsia="宋体" w:cs="宋体"/>
                <w:color w:val="000000"/>
              </w:rPr>
              <w:t>邮编：</w:t>
            </w:r>
          </w:p>
        </w:tc>
        <w:tc>
          <w:tcPr>
            <w:tcW w:w="2631" w:type="pct"/>
            <w:noWrap w:val="0"/>
            <w:vAlign w:val="center"/>
          </w:tcPr>
          <w:p w14:paraId="588AEB5E">
            <w:pPr>
              <w:spacing w:line="360" w:lineRule="auto"/>
              <w:jc w:val="both"/>
              <w:rPr>
                <w:rFonts w:hint="eastAsia" w:ascii="宋体" w:hAnsi="宋体" w:eastAsia="宋体" w:cs="宋体"/>
                <w:color w:val="000000"/>
              </w:rPr>
            </w:pPr>
            <w:r>
              <w:rPr>
                <w:rFonts w:hint="eastAsia" w:ascii="宋体" w:hAnsi="宋体" w:eastAsia="宋体" w:cs="宋体"/>
                <w:color w:val="000000"/>
              </w:rPr>
              <w:t>邮编：</w:t>
            </w:r>
          </w:p>
        </w:tc>
      </w:tr>
      <w:tr w14:paraId="7CC15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1454670C">
            <w:pPr>
              <w:spacing w:line="360" w:lineRule="auto"/>
              <w:jc w:val="both"/>
              <w:rPr>
                <w:rFonts w:hint="eastAsia" w:ascii="宋体" w:hAnsi="宋体" w:eastAsia="宋体" w:cs="宋体"/>
                <w:color w:val="000000"/>
              </w:rPr>
            </w:pPr>
            <w:r>
              <w:rPr>
                <w:rFonts w:hint="eastAsia" w:ascii="宋体" w:hAnsi="宋体" w:eastAsia="宋体" w:cs="宋体"/>
                <w:color w:val="000000"/>
              </w:rPr>
              <w:t>法定代表人：</w:t>
            </w:r>
          </w:p>
        </w:tc>
        <w:tc>
          <w:tcPr>
            <w:tcW w:w="2631" w:type="pct"/>
            <w:noWrap w:val="0"/>
            <w:vAlign w:val="center"/>
          </w:tcPr>
          <w:p w14:paraId="49037705">
            <w:pPr>
              <w:spacing w:line="360" w:lineRule="auto"/>
              <w:jc w:val="both"/>
              <w:rPr>
                <w:rFonts w:hint="eastAsia" w:ascii="宋体" w:hAnsi="宋体" w:eastAsia="宋体" w:cs="宋体"/>
                <w:color w:val="000000"/>
              </w:rPr>
            </w:pPr>
            <w:r>
              <w:rPr>
                <w:rFonts w:hint="eastAsia" w:ascii="宋体" w:hAnsi="宋体" w:eastAsia="宋体" w:cs="宋体"/>
                <w:color w:val="000000"/>
              </w:rPr>
              <w:t>法定代表人：</w:t>
            </w:r>
          </w:p>
        </w:tc>
      </w:tr>
      <w:tr w14:paraId="151BF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0877D183">
            <w:pPr>
              <w:spacing w:line="360" w:lineRule="auto"/>
              <w:jc w:val="both"/>
              <w:rPr>
                <w:rFonts w:hint="eastAsia" w:ascii="宋体" w:hAnsi="宋体" w:eastAsia="宋体" w:cs="宋体"/>
                <w:color w:val="000000"/>
              </w:rPr>
            </w:pPr>
            <w:r>
              <w:rPr>
                <w:rFonts w:hint="eastAsia" w:ascii="宋体" w:hAnsi="宋体" w:eastAsia="宋体" w:cs="宋体"/>
                <w:color w:val="000000"/>
                <w:lang w:eastAsia="zh-CN"/>
              </w:rPr>
              <w:t>负责人</w:t>
            </w:r>
            <w:r>
              <w:rPr>
                <w:rFonts w:hint="eastAsia" w:ascii="宋体" w:hAnsi="宋体" w:eastAsia="宋体" w:cs="宋体"/>
                <w:color w:val="000000"/>
              </w:rPr>
              <w:t>：（签字）</w:t>
            </w:r>
          </w:p>
        </w:tc>
        <w:tc>
          <w:tcPr>
            <w:tcW w:w="2631" w:type="pct"/>
            <w:noWrap w:val="0"/>
            <w:vAlign w:val="center"/>
          </w:tcPr>
          <w:p w14:paraId="453CD837">
            <w:pPr>
              <w:spacing w:line="360" w:lineRule="auto"/>
              <w:jc w:val="both"/>
              <w:rPr>
                <w:rFonts w:hint="eastAsia" w:ascii="宋体" w:hAnsi="宋体" w:eastAsia="宋体" w:cs="宋体"/>
                <w:color w:val="000000"/>
              </w:rPr>
            </w:pPr>
            <w:r>
              <w:rPr>
                <w:rFonts w:hint="eastAsia" w:ascii="宋体" w:hAnsi="宋体" w:eastAsia="宋体" w:cs="宋体"/>
                <w:color w:val="000000"/>
                <w:lang w:eastAsia="zh-CN"/>
              </w:rPr>
              <w:t>负责人</w:t>
            </w:r>
            <w:r>
              <w:rPr>
                <w:rFonts w:hint="eastAsia" w:ascii="宋体" w:hAnsi="宋体" w:eastAsia="宋体" w:cs="宋体"/>
                <w:color w:val="000000"/>
              </w:rPr>
              <w:t>：（签字）</w:t>
            </w:r>
          </w:p>
        </w:tc>
      </w:tr>
      <w:tr w14:paraId="27344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7180FA4F">
            <w:pPr>
              <w:spacing w:line="360" w:lineRule="auto"/>
              <w:jc w:val="both"/>
              <w:rPr>
                <w:rFonts w:hint="eastAsia" w:ascii="宋体" w:hAnsi="宋体" w:eastAsia="宋体" w:cs="宋体"/>
                <w:color w:val="000000"/>
              </w:rPr>
            </w:pPr>
            <w:r>
              <w:rPr>
                <w:rFonts w:hint="eastAsia" w:ascii="宋体" w:hAnsi="宋体" w:eastAsia="宋体" w:cs="宋体"/>
                <w:color w:val="000000"/>
              </w:rPr>
              <w:t>电话：</w:t>
            </w:r>
          </w:p>
        </w:tc>
        <w:tc>
          <w:tcPr>
            <w:tcW w:w="2631" w:type="pct"/>
            <w:noWrap w:val="0"/>
            <w:vAlign w:val="center"/>
          </w:tcPr>
          <w:p w14:paraId="5A7E0DEF">
            <w:pPr>
              <w:spacing w:line="360" w:lineRule="auto"/>
              <w:jc w:val="both"/>
              <w:rPr>
                <w:rFonts w:hint="eastAsia" w:ascii="宋体" w:hAnsi="宋体" w:eastAsia="宋体" w:cs="宋体"/>
                <w:color w:val="000000"/>
              </w:rPr>
            </w:pPr>
            <w:r>
              <w:rPr>
                <w:rFonts w:hint="eastAsia" w:ascii="宋体" w:hAnsi="宋体" w:eastAsia="宋体" w:cs="宋体"/>
                <w:color w:val="000000"/>
              </w:rPr>
              <w:t>电话：</w:t>
            </w:r>
          </w:p>
        </w:tc>
      </w:tr>
      <w:tr w14:paraId="70CC9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1113CD28">
            <w:pPr>
              <w:spacing w:line="360" w:lineRule="auto"/>
              <w:jc w:val="both"/>
              <w:rPr>
                <w:rFonts w:hint="eastAsia" w:ascii="宋体" w:hAnsi="宋体" w:eastAsia="宋体" w:cs="宋体"/>
                <w:color w:val="000000"/>
              </w:rPr>
            </w:pPr>
            <w:r>
              <w:rPr>
                <w:rFonts w:hint="eastAsia" w:ascii="宋体" w:hAnsi="宋体" w:eastAsia="宋体" w:cs="宋体"/>
                <w:color w:val="000000"/>
              </w:rPr>
              <w:t>传真：</w:t>
            </w:r>
          </w:p>
        </w:tc>
        <w:tc>
          <w:tcPr>
            <w:tcW w:w="2631" w:type="pct"/>
            <w:noWrap w:val="0"/>
            <w:vAlign w:val="center"/>
          </w:tcPr>
          <w:p w14:paraId="53CC9F7F">
            <w:pPr>
              <w:spacing w:line="360" w:lineRule="auto"/>
              <w:jc w:val="both"/>
              <w:rPr>
                <w:rFonts w:hint="eastAsia" w:ascii="宋体" w:hAnsi="宋体" w:eastAsia="宋体" w:cs="宋体"/>
                <w:color w:val="000000"/>
              </w:rPr>
            </w:pPr>
            <w:r>
              <w:rPr>
                <w:rFonts w:hint="eastAsia" w:ascii="宋体" w:hAnsi="宋体" w:eastAsia="宋体" w:cs="宋体"/>
                <w:color w:val="000000"/>
              </w:rPr>
              <w:t>传真：</w:t>
            </w:r>
          </w:p>
        </w:tc>
      </w:tr>
      <w:tr w14:paraId="5EF02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3030CAD5">
            <w:pPr>
              <w:spacing w:line="360" w:lineRule="auto"/>
              <w:jc w:val="both"/>
              <w:rPr>
                <w:rFonts w:hint="eastAsia" w:ascii="宋体" w:hAnsi="宋体" w:eastAsia="宋体" w:cs="宋体"/>
                <w:color w:val="000000"/>
              </w:rPr>
            </w:pPr>
          </w:p>
        </w:tc>
        <w:tc>
          <w:tcPr>
            <w:tcW w:w="2631" w:type="pct"/>
            <w:noWrap w:val="0"/>
            <w:vAlign w:val="center"/>
          </w:tcPr>
          <w:p w14:paraId="61CD79EE">
            <w:pPr>
              <w:spacing w:line="360" w:lineRule="auto"/>
              <w:jc w:val="both"/>
              <w:rPr>
                <w:rFonts w:hint="eastAsia" w:ascii="宋体" w:hAnsi="宋体" w:eastAsia="宋体" w:cs="宋体"/>
                <w:color w:val="000000"/>
              </w:rPr>
            </w:pPr>
            <w:r>
              <w:rPr>
                <w:rFonts w:hint="eastAsia" w:ascii="宋体" w:hAnsi="宋体" w:eastAsia="宋体" w:cs="宋体"/>
                <w:color w:val="000000"/>
              </w:rPr>
              <w:t>开户银行：</w:t>
            </w:r>
          </w:p>
        </w:tc>
      </w:tr>
      <w:tr w14:paraId="756B3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2F7E02D1">
            <w:pPr>
              <w:spacing w:line="360" w:lineRule="auto"/>
              <w:jc w:val="both"/>
              <w:rPr>
                <w:rFonts w:hint="eastAsia" w:ascii="宋体" w:hAnsi="宋体" w:eastAsia="宋体" w:cs="宋体"/>
                <w:color w:val="000000"/>
              </w:rPr>
            </w:pPr>
          </w:p>
        </w:tc>
        <w:tc>
          <w:tcPr>
            <w:tcW w:w="2631" w:type="pct"/>
            <w:noWrap w:val="0"/>
            <w:vAlign w:val="center"/>
          </w:tcPr>
          <w:p w14:paraId="711AE832">
            <w:pPr>
              <w:spacing w:line="360" w:lineRule="auto"/>
              <w:jc w:val="both"/>
              <w:rPr>
                <w:rFonts w:hint="eastAsia" w:ascii="宋体" w:hAnsi="宋体" w:eastAsia="宋体" w:cs="宋体"/>
                <w:color w:val="000000"/>
              </w:rPr>
            </w:pPr>
            <w:r>
              <w:rPr>
                <w:rFonts w:hint="eastAsia" w:ascii="宋体" w:hAnsi="宋体" w:eastAsia="宋体" w:cs="宋体"/>
                <w:color w:val="000000"/>
              </w:rPr>
              <w:t>账号：</w:t>
            </w:r>
          </w:p>
        </w:tc>
      </w:tr>
      <w:tr w14:paraId="2BD48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68" w:type="pct"/>
            <w:noWrap w:val="0"/>
            <w:vAlign w:val="center"/>
          </w:tcPr>
          <w:p w14:paraId="4BAAAF29">
            <w:pPr>
              <w:spacing w:line="360" w:lineRule="auto"/>
              <w:jc w:val="both"/>
              <w:rPr>
                <w:rFonts w:hint="eastAsia" w:ascii="宋体" w:hAnsi="宋体" w:eastAsia="宋体" w:cs="宋体"/>
                <w:color w:val="000000"/>
              </w:rPr>
            </w:pPr>
            <w:r>
              <w:rPr>
                <w:rFonts w:hint="eastAsia" w:ascii="宋体" w:hAnsi="宋体" w:eastAsia="宋体" w:cs="宋体"/>
                <w:color w:val="000000"/>
              </w:rPr>
              <w:t>日期：   年  月  日</w:t>
            </w:r>
          </w:p>
        </w:tc>
        <w:tc>
          <w:tcPr>
            <w:tcW w:w="2631" w:type="pct"/>
            <w:noWrap w:val="0"/>
            <w:vAlign w:val="center"/>
          </w:tcPr>
          <w:p w14:paraId="21C38264">
            <w:pPr>
              <w:spacing w:line="360" w:lineRule="auto"/>
              <w:jc w:val="both"/>
              <w:rPr>
                <w:rFonts w:hint="eastAsia" w:ascii="宋体" w:hAnsi="宋体" w:eastAsia="宋体" w:cs="宋体"/>
                <w:color w:val="000000"/>
              </w:rPr>
            </w:pPr>
            <w:r>
              <w:rPr>
                <w:rFonts w:hint="eastAsia" w:ascii="宋体" w:hAnsi="宋体" w:eastAsia="宋体" w:cs="宋体"/>
                <w:color w:val="000000"/>
              </w:rPr>
              <w:t>日期：   年  月  日</w:t>
            </w:r>
          </w:p>
        </w:tc>
      </w:tr>
    </w:tbl>
    <w:p w14:paraId="6B8B5988">
      <w:pPr>
        <w:pStyle w:val="2"/>
        <w:rPr>
          <w:rFonts w:hint="eastAsia" w:ascii="宋体" w:hAnsi="宋体" w:eastAsia="宋体" w:cs="宋体"/>
        </w:rPr>
      </w:pPr>
    </w:p>
    <w:p w14:paraId="39AF1D1A">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C92F52"/>
    <w:rsid w:val="126D19DD"/>
    <w:rsid w:val="27BB69C7"/>
    <w:rsid w:val="33266F97"/>
    <w:rsid w:val="56C92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jc w:val="center"/>
      <w:outlineLvl w:val="0"/>
    </w:pPr>
    <w:rPr>
      <w:rFonts w:ascii="黑体" w:eastAsia="黑体"/>
      <w:sz w:val="28"/>
    </w:rPr>
  </w:style>
  <w:style w:type="paragraph" w:styleId="5">
    <w:name w:val="heading 4"/>
    <w:basedOn w:val="1"/>
    <w:next w:val="1"/>
    <w:unhideWhenUsed/>
    <w:qFormat/>
    <w:uiPriority w:val="0"/>
    <w:pPr>
      <w:keepNext/>
      <w:keepLines/>
      <w:spacing w:beforeLines="0" w:beforeAutospacing="0" w:afterLines="0" w:afterAutospacing="0" w:line="360" w:lineRule="auto"/>
      <w:outlineLvl w:val="3"/>
    </w:pPr>
    <w:rPr>
      <w:rFonts w:ascii="Arial" w:hAnsi="Arial" w:eastAsia="宋体"/>
      <w:b/>
      <w:sz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rPr>
  </w:style>
  <w:style w:type="paragraph" w:styleId="3">
    <w:name w:val="Body Text"/>
    <w:basedOn w:val="1"/>
    <w:next w:val="1"/>
    <w:qFormat/>
    <w:uiPriority w:val="0"/>
  </w:style>
  <w:style w:type="paragraph" w:styleId="6">
    <w:name w:val="toc 4"/>
    <w:basedOn w:val="1"/>
    <w:next w:val="1"/>
    <w:qFormat/>
    <w:uiPriority w:val="39"/>
    <w:pPr>
      <w:ind w:left="1260" w:leftChars="600"/>
    </w:p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标题2"/>
    <w:basedOn w:val="5"/>
    <w:next w:val="1"/>
    <w:qFormat/>
    <w:uiPriority w:val="0"/>
    <w:pPr>
      <w:tabs>
        <w:tab w:val="left" w:pos="864"/>
      </w:tabs>
      <w:spacing w:before="0" w:beforeLines="50" w:after="0" w:afterLines="50" w:line="360" w:lineRule="auto"/>
      <w:ind w:firstLine="397" w:firstLineChars="0"/>
      <w:jc w:val="left"/>
    </w:pPr>
    <w:rPr>
      <w:rFonts w:ascii="黑体" w:hAnsi="宋体" w:eastAsia="宋体" w:cs="黑体"/>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3016</Words>
  <Characters>3079</Characters>
  <Lines>0</Lines>
  <Paragraphs>0</Paragraphs>
  <TotalTime>3</TotalTime>
  <ScaleCrop>false</ScaleCrop>
  <LinksUpToDate>false</LinksUpToDate>
  <CharactersWithSpaces>3229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2025-04-29T06:10:00Z</dcterms:created>
  <dc:creator>ZB</dc:creator>
  <cp:lastModifiedBy>ZB</cp:lastModifiedBy>
  <dcterms:modified xsi:type="dcterms:W3CDTF">2025-05-16T03:44:46Z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CD0E643833F242459FF539D838FFE0C4_11</vt:lpwstr>
  </property>
  <property fmtid="{D5CDD505-2E9C-101B-9397-08002B2CF9AE}" pid="4" name="KSOTemplateDocerSaveRecord">
    <vt:lpwstr>eyJoZGlkIjoiN2ViYzgzYzQyMGIyYjJjYjcxZTNlYzBlMzBmOWMyM2IiLCJ1c2VySWQiOiIzNTU2NzIwMzcifQ==</vt:lpwstr>
  </property>
</Properties>
</file>